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1AFB7BEC" w:rsidR="00F66048" w:rsidRPr="00D11AF1"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val="en-US" w:eastAsia="ko-KR"/>
        </w:rPr>
      </w:pPr>
      <w:r w:rsidRPr="0075369F">
        <w:rPr>
          <w:rFonts w:ascii="Arial" w:eastAsia="바탕" w:hAnsi="Arial" w:cs="Arial"/>
          <w:b/>
          <w:bCs/>
          <w:sz w:val="24"/>
          <w:szCs w:val="24"/>
        </w:rPr>
        <w:t>3GPP TSG RAN WG1 Meeting #</w:t>
      </w:r>
      <w:r w:rsidR="00021E44">
        <w:rPr>
          <w:rFonts w:ascii="Arial" w:eastAsia="바탕" w:hAnsi="Arial" w:cs="Arial"/>
          <w:b/>
          <w:bCs/>
          <w:sz w:val="24"/>
          <w:szCs w:val="24"/>
        </w:rPr>
        <w:t xml:space="preserve">110    </w:t>
      </w:r>
      <w:r w:rsidR="00193D3E" w:rsidRPr="0075369F">
        <w:rPr>
          <w:rFonts w:ascii="Arial" w:eastAsia="바탕" w:hAnsi="Arial" w:cs="Arial"/>
          <w:b/>
          <w:bCs/>
          <w:sz w:val="24"/>
          <w:szCs w:val="24"/>
        </w:rPr>
        <w:tab/>
      </w:r>
      <w:r w:rsidR="00F05A81" w:rsidRPr="0075369F">
        <w:rPr>
          <w:rFonts w:ascii="Arial" w:eastAsia="바탕" w:hAnsi="Arial" w:cs="Arial"/>
          <w:b/>
          <w:bCs/>
          <w:sz w:val="24"/>
          <w:szCs w:val="24"/>
        </w:rPr>
        <w:tab/>
      </w:r>
      <w:r w:rsidR="00B04CE0">
        <w:rPr>
          <w:rFonts w:ascii="Arial" w:hAnsi="Arial" w:cs="Arial"/>
          <w:b/>
          <w:bCs/>
          <w:sz w:val="24"/>
          <w:szCs w:val="24"/>
          <w:lang w:eastAsia="ja-JP"/>
        </w:rPr>
        <w:t>R1-</w:t>
      </w:r>
      <w:r w:rsidR="00D11AF1" w:rsidRPr="00D11AF1">
        <w:t xml:space="preserve"> </w:t>
      </w:r>
      <w:r w:rsidR="00D11AF1" w:rsidRPr="00D11AF1">
        <w:rPr>
          <w:rFonts w:ascii="Arial" w:hAnsi="Arial" w:cs="Arial"/>
          <w:b/>
          <w:bCs/>
          <w:sz w:val="24"/>
          <w:szCs w:val="24"/>
          <w:lang w:eastAsia="ja-JP"/>
        </w:rPr>
        <w:t>2207043</w:t>
      </w:r>
    </w:p>
    <w:p w14:paraId="3F60A4A0" w14:textId="460FB633" w:rsidR="007E2296" w:rsidRPr="0075369F" w:rsidRDefault="00021E44"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021E44">
        <w:rPr>
          <w:rFonts w:ascii="Arial" w:hAnsi="Arial" w:cs="Arial"/>
          <w:b/>
          <w:bCs/>
          <w:sz w:val="24"/>
          <w:szCs w:val="24"/>
          <w:lang w:eastAsia="ja-JP"/>
        </w:rPr>
        <w:t>Toulouse, France, August 22nd – 26th, 2022</w:t>
      </w:r>
    </w:p>
    <w:p w14:paraId="79986111" w14:textId="77777777" w:rsidR="000D41C4" w:rsidRPr="00433E42" w:rsidRDefault="000D41C4" w:rsidP="00FA08CD">
      <w:pPr>
        <w:tabs>
          <w:tab w:val="left" w:pos="1985"/>
        </w:tabs>
        <w:spacing w:after="0"/>
        <w:ind w:left="0" w:firstLine="0"/>
        <w:rPr>
          <w:rFonts w:ascii="Arial" w:eastAsia="맑은 고딕" w:hAnsi="Arial"/>
          <w:b/>
          <w:sz w:val="24"/>
          <w:lang w:eastAsia="ko-KR"/>
        </w:rPr>
      </w:pPr>
    </w:p>
    <w:p w14:paraId="65D0CC4C" w14:textId="13A7F2D8"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DE502F">
        <w:rPr>
          <w:rFonts w:ascii="Arial" w:hAnsi="Arial"/>
          <w:sz w:val="24"/>
          <w:lang w:val="en-US"/>
        </w:rPr>
        <w:t>9</w:t>
      </w:r>
      <w:r w:rsidR="000A2C7C" w:rsidRPr="000A2C7C">
        <w:rPr>
          <w:rFonts w:ascii="Arial" w:hAnsi="Arial"/>
          <w:sz w:val="24"/>
          <w:lang w:val="en-US"/>
        </w:rPr>
        <w:t>.</w:t>
      </w:r>
      <w:r w:rsidR="00DE502F">
        <w:rPr>
          <w:rFonts w:ascii="Arial" w:hAnsi="Arial"/>
          <w:sz w:val="24"/>
          <w:lang w:val="en-US"/>
        </w:rPr>
        <w:t>11</w:t>
      </w:r>
      <w:r w:rsidR="000A2C7C" w:rsidRPr="000A2C7C">
        <w:rPr>
          <w:rFonts w:ascii="Arial" w:hAnsi="Arial"/>
          <w:sz w:val="24"/>
          <w:lang w:val="en-US"/>
        </w:rPr>
        <w:t>.</w:t>
      </w:r>
      <w:r w:rsidR="00B04CE0">
        <w:rPr>
          <w:rFonts w:ascii="Arial" w:hAnsi="Arial"/>
          <w:sz w:val="24"/>
          <w:lang w:val="en-US"/>
        </w:rPr>
        <w:t>2</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01F3243D"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B04CE0" w:rsidRPr="00B04CE0">
        <w:rPr>
          <w:rFonts w:ascii="Arial" w:hAnsi="Arial"/>
          <w:sz w:val="24"/>
        </w:rPr>
        <w:t>XR-specific capacity enhancements techniques</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bookmarkStart w:id="3" w:name="_Ref87036880"/>
      <w:r w:rsidRPr="00A440DA">
        <w:rPr>
          <w:rFonts w:eastAsia="바탕" w:hint="eastAsia"/>
          <w:b/>
          <w:lang w:eastAsia="ko-KR"/>
        </w:rPr>
        <w:t>Introduction</w:t>
      </w:r>
      <w:bookmarkEnd w:id="3"/>
    </w:p>
    <w:p w14:paraId="49C26B21" w14:textId="0B2CC66A" w:rsidR="00021E44" w:rsidRDefault="00021E44"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In the last meeting, following agreements have been made for XR SI</w:t>
      </w:r>
      <w:r w:rsidR="002E5FB7">
        <w:rPr>
          <w:rFonts w:eastAsia="맑은 고딕"/>
          <w:kern w:val="2"/>
          <w:sz w:val="22"/>
          <w:szCs w:val="22"/>
          <w:lang w:val="en-US" w:eastAsia="ko-KR"/>
        </w:rPr>
        <w:t xml:space="preserve"> [1]</w:t>
      </w:r>
      <w:r>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3B4FC4" w14:paraId="170B1ED7" w14:textId="77777777" w:rsidTr="00381ABB">
        <w:tc>
          <w:tcPr>
            <w:tcW w:w="9728" w:type="dxa"/>
            <w:shd w:val="clear" w:color="auto" w:fill="auto"/>
          </w:tcPr>
          <w:p w14:paraId="76D7515B" w14:textId="77777777" w:rsidR="003B4FC4" w:rsidRPr="003B4FC4" w:rsidRDefault="003B4FC4" w:rsidP="00E46D6C">
            <w:pPr>
              <w:spacing w:before="0" w:after="0" w:line="220" w:lineRule="exact"/>
              <w:ind w:left="0" w:firstLine="0"/>
              <w:jc w:val="left"/>
              <w:rPr>
                <w:rFonts w:ascii="Times" w:eastAsia="바탕" w:hAnsi="Times" w:cs="Times"/>
                <w:b/>
                <w:bCs/>
                <w:szCs w:val="24"/>
                <w:highlight w:val="green"/>
                <w:lang w:eastAsia="x-none"/>
              </w:rPr>
            </w:pPr>
            <w:r w:rsidRPr="003B4FC4">
              <w:rPr>
                <w:rFonts w:ascii="Times" w:eastAsia="바탕" w:hAnsi="Times" w:cs="Times"/>
                <w:b/>
                <w:bCs/>
                <w:szCs w:val="24"/>
                <w:highlight w:val="green"/>
                <w:lang w:eastAsia="x-none"/>
              </w:rPr>
              <w:t>Agreement</w:t>
            </w:r>
          </w:p>
          <w:p w14:paraId="3D591475" w14:textId="77777777" w:rsidR="003B4FC4" w:rsidRDefault="003B4FC4" w:rsidP="00E46D6C">
            <w:pPr>
              <w:spacing w:before="0" w:after="0" w:line="220" w:lineRule="exact"/>
              <w:ind w:left="0" w:firstLine="0"/>
              <w:jc w:val="left"/>
              <w:rPr>
                <w:rFonts w:ascii="Times" w:eastAsia="SimSun" w:hAnsi="Times" w:cs="Times"/>
                <w:szCs w:val="24"/>
              </w:rPr>
            </w:pPr>
            <w:r w:rsidRPr="003B4FC4">
              <w:rPr>
                <w:rFonts w:ascii="Times" w:eastAsia="SimSun" w:hAnsi="Times" w:cs="Times"/>
                <w:szCs w:val="24"/>
              </w:rPr>
              <w:t>Rel-17 evaluation methodology for XR capacity enhancement captured in TR 38.838 is used as the baseline evaluation methodology for XR capacity enhancement of Rel-18 SI on XR enhancements.</w:t>
            </w:r>
          </w:p>
          <w:p w14:paraId="71EDD0AF" w14:textId="77777777" w:rsidR="003B4FC4" w:rsidRPr="003B4FC4" w:rsidRDefault="003B4FC4" w:rsidP="00E46D6C">
            <w:pPr>
              <w:spacing w:before="0" w:after="0" w:line="220" w:lineRule="exact"/>
              <w:ind w:left="0" w:firstLine="0"/>
              <w:jc w:val="left"/>
              <w:rPr>
                <w:rFonts w:ascii="Times" w:eastAsia="SimSun" w:hAnsi="Times" w:cs="Times"/>
                <w:szCs w:val="24"/>
              </w:rPr>
            </w:pPr>
          </w:p>
          <w:p w14:paraId="5897711F" w14:textId="77777777" w:rsidR="003B4FC4" w:rsidRPr="003B4FC4" w:rsidRDefault="003B4FC4" w:rsidP="00E46D6C">
            <w:pPr>
              <w:spacing w:before="0" w:after="0" w:line="220" w:lineRule="exact"/>
              <w:ind w:left="0" w:firstLine="0"/>
              <w:jc w:val="left"/>
              <w:rPr>
                <w:rFonts w:ascii="Times" w:eastAsia="바탕" w:hAnsi="Times" w:cs="Times"/>
                <w:b/>
                <w:bCs/>
                <w:szCs w:val="24"/>
                <w:highlight w:val="green"/>
                <w:lang w:eastAsia="x-none"/>
              </w:rPr>
            </w:pPr>
            <w:r w:rsidRPr="003B4FC4">
              <w:rPr>
                <w:rFonts w:ascii="Times" w:eastAsia="바탕" w:hAnsi="Times" w:cs="Times"/>
                <w:b/>
                <w:bCs/>
                <w:szCs w:val="24"/>
                <w:highlight w:val="green"/>
                <w:lang w:eastAsia="x-none"/>
              </w:rPr>
              <w:t>Agreement</w:t>
            </w:r>
          </w:p>
          <w:p w14:paraId="44DB9CF6" w14:textId="77777777" w:rsidR="003B4FC4" w:rsidRPr="003B4FC4" w:rsidRDefault="003B4FC4" w:rsidP="00E46D6C">
            <w:pPr>
              <w:numPr>
                <w:ilvl w:val="0"/>
                <w:numId w:val="21"/>
              </w:numPr>
              <w:spacing w:before="0" w:after="0" w:line="220" w:lineRule="exact"/>
              <w:jc w:val="left"/>
              <w:rPr>
                <w:rFonts w:ascii="Times" w:eastAsia="SimSun" w:hAnsi="Times" w:cs="Times"/>
                <w:lang w:val="en-US" w:eastAsia="ko-KR"/>
              </w:rPr>
            </w:pPr>
            <w:r w:rsidRPr="003B4FC4">
              <w:rPr>
                <w:rFonts w:ascii="Times" w:eastAsia="SimSun" w:hAnsi="Times" w:cs="Times"/>
                <w:lang w:val="en-US" w:eastAsia="ko-KR"/>
              </w:rPr>
              <w:t>To support a candidate capacity enhancement technique for XR traffic, capacity performance gain by the technique as compared to baseline should be shown.</w:t>
            </w:r>
          </w:p>
          <w:p w14:paraId="4618AE76" w14:textId="38215605" w:rsidR="003B4FC4" w:rsidRDefault="003B4FC4" w:rsidP="00E46D6C">
            <w:pPr>
              <w:spacing w:before="0" w:after="0" w:line="220" w:lineRule="exact"/>
              <w:ind w:left="0" w:firstLine="0"/>
              <w:jc w:val="left"/>
              <w:rPr>
                <w:rFonts w:ascii="Times" w:eastAsia="바탕" w:hAnsi="Times" w:cs="Times"/>
              </w:rPr>
            </w:pPr>
            <w:r w:rsidRPr="003B4FC4">
              <w:rPr>
                <w:rFonts w:ascii="Times" w:eastAsia="바탕" w:hAnsi="Times" w:cs="Times"/>
              </w:rPr>
              <w:t>Capacity performance gain by the candidate technique as compared to baseline is a necessary condition to consider supporting the candidate technique</w:t>
            </w:r>
          </w:p>
          <w:p w14:paraId="4B6BC5BB" w14:textId="77777777" w:rsidR="003B4FC4" w:rsidRPr="003B4FC4" w:rsidRDefault="003B4FC4" w:rsidP="00E46D6C">
            <w:pPr>
              <w:spacing w:before="0" w:after="0" w:line="220" w:lineRule="exact"/>
              <w:ind w:left="0" w:firstLine="0"/>
              <w:jc w:val="left"/>
              <w:rPr>
                <w:rFonts w:ascii="Times" w:eastAsia="SimSun" w:hAnsi="Times" w:cs="Times"/>
                <w:szCs w:val="24"/>
                <w:lang w:val="en-US" w:eastAsia="zh-CN"/>
              </w:rPr>
            </w:pPr>
          </w:p>
          <w:p w14:paraId="7908A41F" w14:textId="77777777" w:rsidR="00E46D6C" w:rsidRPr="00E46D6C" w:rsidRDefault="00E46D6C" w:rsidP="00E46D6C">
            <w:pPr>
              <w:spacing w:before="0" w:after="0" w:line="220" w:lineRule="exact"/>
              <w:ind w:left="0" w:firstLine="0"/>
              <w:jc w:val="left"/>
              <w:rPr>
                <w:rFonts w:ascii="Times" w:eastAsia="바탕" w:hAnsi="Times" w:cs="Times"/>
                <w:b/>
                <w:bCs/>
                <w:szCs w:val="24"/>
                <w:highlight w:val="green"/>
                <w:lang w:eastAsia="x-none"/>
              </w:rPr>
            </w:pPr>
            <w:r w:rsidRPr="00E46D6C">
              <w:rPr>
                <w:rFonts w:ascii="Times" w:eastAsia="바탕" w:hAnsi="Times" w:cs="Times"/>
                <w:b/>
                <w:bCs/>
                <w:szCs w:val="24"/>
                <w:highlight w:val="green"/>
                <w:lang w:eastAsia="x-none"/>
              </w:rPr>
              <w:t>Agreement</w:t>
            </w:r>
          </w:p>
          <w:p w14:paraId="5B8D392A" w14:textId="77777777" w:rsidR="00E46D6C" w:rsidRPr="00E46D6C" w:rsidRDefault="00E46D6C" w:rsidP="00E46D6C">
            <w:pPr>
              <w:spacing w:before="0" w:after="0" w:line="220" w:lineRule="exact"/>
              <w:ind w:left="0" w:firstLine="0"/>
              <w:jc w:val="left"/>
              <w:rPr>
                <w:rFonts w:ascii="Times" w:eastAsia="바탕" w:hAnsi="Times" w:cs="Times"/>
                <w:szCs w:val="24"/>
                <w:lang w:eastAsia="ja-JP"/>
              </w:rPr>
            </w:pPr>
            <w:r w:rsidRPr="00E46D6C">
              <w:rPr>
                <w:rFonts w:ascii="Times" w:eastAsia="바탕" w:hAnsi="Times" w:cs="Times"/>
                <w:szCs w:val="24"/>
                <w:lang w:eastAsia="ja-JP"/>
              </w:rPr>
              <w:t>To study whether/how to support a candidate capacity enhancement technique for XR traffic based SPS/CG transmissions, companies are encouraged to consider the following studies:</w:t>
            </w:r>
          </w:p>
          <w:p w14:paraId="53D6DC7E" w14:textId="77777777" w:rsidR="00E46D6C" w:rsidRPr="00E46D6C" w:rsidRDefault="00E46D6C" w:rsidP="00E46D6C">
            <w:pPr>
              <w:numPr>
                <w:ilvl w:val="0"/>
                <w:numId w:val="22"/>
              </w:numPr>
              <w:spacing w:before="0" w:after="0" w:line="220" w:lineRule="exact"/>
              <w:jc w:val="left"/>
              <w:rPr>
                <w:rFonts w:ascii="Times" w:eastAsia="바탕" w:hAnsi="Times" w:cs="Times"/>
                <w:szCs w:val="24"/>
                <w:lang w:eastAsia="ja-JP"/>
              </w:rPr>
            </w:pPr>
            <w:r w:rsidRPr="00E46D6C">
              <w:rPr>
                <w:rFonts w:ascii="Times" w:eastAsia="바탕" w:hAnsi="Times" w:cs="Times"/>
                <w:szCs w:val="24"/>
                <w:lang w:eastAsia="ja-JP"/>
              </w:rPr>
              <w:t xml:space="preserve">Study enhancements related to </w:t>
            </w:r>
            <w:r w:rsidRPr="00E46D6C">
              <w:rPr>
                <w:rFonts w:ascii="Times" w:eastAsia="바탕" w:hAnsi="Times" w:cs="Times"/>
                <w:strike/>
                <w:szCs w:val="24"/>
                <w:lang w:eastAsia="ja-JP"/>
              </w:rPr>
              <w:t>support of</w:t>
            </w:r>
            <w:r w:rsidRPr="00E46D6C">
              <w:rPr>
                <w:rFonts w:ascii="Times" w:eastAsia="바탕" w:hAnsi="Times" w:cs="Times"/>
                <w:szCs w:val="24"/>
                <w:lang w:eastAsia="ja-JP"/>
              </w:rPr>
              <w:t xml:space="preserve"> m</w:t>
            </w:r>
            <w:r w:rsidRPr="00E46D6C">
              <w:rPr>
                <w:rFonts w:ascii="Times" w:eastAsia="바탕" w:hAnsi="Times" w:cs="Times"/>
                <w:szCs w:val="24"/>
                <w:lang w:eastAsia="zh-CN"/>
              </w:rPr>
              <w:t>ultiple P</w:t>
            </w:r>
            <w:r w:rsidRPr="00E46D6C">
              <w:rPr>
                <w:rFonts w:ascii="Times" w:eastAsia="바탕" w:hAnsi="Times" w:cs="Times"/>
                <w:szCs w:val="24"/>
                <w:lang w:eastAsia="x-none"/>
              </w:rPr>
              <w:t>D</w:t>
            </w:r>
            <w:r w:rsidRPr="00E46D6C">
              <w:rPr>
                <w:rFonts w:ascii="Times" w:eastAsia="바탕" w:hAnsi="Times" w:cs="Times"/>
                <w:szCs w:val="24"/>
                <w:lang w:eastAsia="zh-CN"/>
              </w:rPr>
              <w:t>SCHs</w:t>
            </w:r>
            <w:r w:rsidRPr="00E46D6C">
              <w:rPr>
                <w:rFonts w:ascii="Times" w:eastAsia="바탕" w:hAnsi="Times" w:cs="Times"/>
                <w:szCs w:val="24"/>
                <w:lang w:eastAsia="x-none"/>
              </w:rPr>
              <w:t xml:space="preserve"> SPS</w:t>
            </w:r>
            <w:r w:rsidRPr="00E46D6C">
              <w:rPr>
                <w:rFonts w:ascii="Times" w:eastAsia="바탕" w:hAnsi="Times" w:cs="Times"/>
                <w:strike/>
                <w:szCs w:val="24"/>
                <w:lang w:eastAsia="x-none"/>
              </w:rPr>
              <w:t xml:space="preserve"> </w:t>
            </w:r>
            <w:r w:rsidRPr="00E46D6C">
              <w:rPr>
                <w:rFonts w:ascii="Times" w:eastAsia="바탕" w:hAnsi="Times" w:cs="Times"/>
                <w:szCs w:val="24"/>
                <w:lang w:eastAsia="x-none"/>
              </w:rPr>
              <w:t>transmission occasions in a period</w:t>
            </w:r>
          </w:p>
          <w:p w14:paraId="74D5BE9D" w14:textId="77777777" w:rsidR="00E46D6C" w:rsidRPr="00E46D6C" w:rsidRDefault="00E46D6C" w:rsidP="00E46D6C">
            <w:pPr>
              <w:numPr>
                <w:ilvl w:val="0"/>
                <w:numId w:val="22"/>
              </w:numPr>
              <w:spacing w:before="0" w:after="0" w:line="220" w:lineRule="exact"/>
              <w:jc w:val="left"/>
              <w:rPr>
                <w:rFonts w:ascii="Times" w:eastAsia="바탕" w:hAnsi="Times" w:cs="Times"/>
                <w:strike/>
                <w:szCs w:val="24"/>
                <w:lang w:eastAsia="ja-JP"/>
              </w:rPr>
            </w:pPr>
            <w:r w:rsidRPr="00E46D6C">
              <w:rPr>
                <w:rFonts w:ascii="Times" w:eastAsia="바탕" w:hAnsi="Times" w:cs="Times"/>
                <w:szCs w:val="24"/>
                <w:lang w:eastAsia="ja-JP"/>
              </w:rPr>
              <w:t>Study enhancements related to m</w:t>
            </w:r>
            <w:r w:rsidRPr="00E46D6C">
              <w:rPr>
                <w:rFonts w:ascii="Times" w:eastAsia="바탕" w:hAnsi="Times" w:cs="Times"/>
                <w:szCs w:val="24"/>
                <w:lang w:eastAsia="zh-CN"/>
              </w:rPr>
              <w:t>ultiple P</w:t>
            </w:r>
            <w:r w:rsidRPr="00E46D6C">
              <w:rPr>
                <w:rFonts w:ascii="Times" w:eastAsia="바탕" w:hAnsi="Times" w:cs="Times"/>
                <w:szCs w:val="24"/>
                <w:lang w:eastAsia="x-none"/>
              </w:rPr>
              <w:t>U</w:t>
            </w:r>
            <w:r w:rsidRPr="00E46D6C">
              <w:rPr>
                <w:rFonts w:ascii="Times" w:eastAsia="바탕" w:hAnsi="Times" w:cs="Times"/>
                <w:szCs w:val="24"/>
                <w:lang w:eastAsia="zh-CN"/>
              </w:rPr>
              <w:t>SCHs</w:t>
            </w:r>
            <w:r w:rsidRPr="00E46D6C">
              <w:rPr>
                <w:rFonts w:ascii="Times" w:eastAsia="바탕" w:hAnsi="Times" w:cs="Times"/>
                <w:szCs w:val="24"/>
                <w:lang w:eastAsia="x-none"/>
              </w:rPr>
              <w:t xml:space="preserve"> CG transmission occasions in a period</w:t>
            </w:r>
          </w:p>
          <w:p w14:paraId="46FE7C01" w14:textId="77777777" w:rsidR="00E46D6C" w:rsidRPr="00E46D6C" w:rsidRDefault="00E46D6C" w:rsidP="00E46D6C">
            <w:pPr>
              <w:numPr>
                <w:ilvl w:val="0"/>
                <w:numId w:val="22"/>
              </w:numPr>
              <w:spacing w:before="0" w:after="0" w:line="220" w:lineRule="exact"/>
              <w:jc w:val="left"/>
              <w:rPr>
                <w:rFonts w:ascii="Times" w:eastAsia="바탕" w:hAnsi="Times" w:cs="Times"/>
                <w:szCs w:val="24"/>
                <w:lang w:eastAsia="ja-JP"/>
              </w:rPr>
            </w:pPr>
            <w:r w:rsidRPr="00E46D6C">
              <w:rPr>
                <w:rFonts w:ascii="Times" w:eastAsia="바탕" w:hAnsi="Times" w:cs="Times"/>
                <w:szCs w:val="24"/>
                <w:lang w:eastAsia="x-none"/>
              </w:rPr>
              <w:t xml:space="preserve">Study </w:t>
            </w:r>
            <w:r w:rsidRPr="00E46D6C">
              <w:rPr>
                <w:rFonts w:ascii="Times" w:eastAsia="바탕" w:hAnsi="Times" w:cs="Times"/>
                <w:szCs w:val="24"/>
                <w:lang w:eastAsia="ja-JP"/>
              </w:rPr>
              <w:t xml:space="preserve">enhancements related to </w:t>
            </w:r>
            <w:r w:rsidRPr="00E46D6C">
              <w:rPr>
                <w:rFonts w:ascii="Times" w:eastAsia="바탕" w:hAnsi="Times" w:cs="Times"/>
                <w:szCs w:val="24"/>
                <w:lang w:eastAsia="x-none"/>
              </w:rPr>
              <w:t>dynamic adaptation of SPS/CG parameters/configurations</w:t>
            </w:r>
          </w:p>
          <w:p w14:paraId="2BE80CA7" w14:textId="77777777" w:rsidR="00E46D6C" w:rsidRPr="00E46D6C" w:rsidRDefault="00E46D6C" w:rsidP="00E46D6C">
            <w:pPr>
              <w:numPr>
                <w:ilvl w:val="0"/>
                <w:numId w:val="22"/>
              </w:numPr>
              <w:spacing w:before="0" w:after="0" w:line="220" w:lineRule="exact"/>
              <w:jc w:val="left"/>
              <w:rPr>
                <w:rFonts w:ascii="Times" w:eastAsia="바탕" w:hAnsi="Times" w:cs="Times"/>
                <w:szCs w:val="24"/>
                <w:lang w:eastAsia="ja-JP"/>
              </w:rPr>
            </w:pPr>
            <w:r w:rsidRPr="00E46D6C">
              <w:rPr>
                <w:rFonts w:ascii="Times" w:eastAsia="바탕" w:hAnsi="Times" w:cs="Times"/>
                <w:szCs w:val="24"/>
                <w:lang w:eastAsia="x-none"/>
              </w:rPr>
              <w:t xml:space="preserve">Study </w:t>
            </w:r>
            <w:r w:rsidRPr="00E46D6C">
              <w:rPr>
                <w:rFonts w:ascii="Times" w:eastAsia="바탕" w:hAnsi="Times" w:cs="Times"/>
                <w:szCs w:val="24"/>
                <w:lang w:eastAsia="ja-JP"/>
              </w:rPr>
              <w:t xml:space="preserve">enhancements related to </w:t>
            </w:r>
            <w:r w:rsidRPr="00E46D6C">
              <w:rPr>
                <w:rFonts w:ascii="Times" w:eastAsia="바탕" w:hAnsi="Times" w:cs="Times"/>
                <w:szCs w:val="24"/>
                <w:lang w:eastAsia="zh-CN"/>
              </w:rPr>
              <w:t>non-integer periodicity for SPS/C</w:t>
            </w:r>
            <w:r w:rsidRPr="00E46D6C">
              <w:rPr>
                <w:rFonts w:ascii="Times" w:eastAsia="바탕" w:hAnsi="Times" w:cs="Times"/>
                <w:szCs w:val="24"/>
                <w:lang w:eastAsia="x-none"/>
              </w:rPr>
              <w:t>G transmissions</w:t>
            </w:r>
            <w:r w:rsidRPr="00E46D6C">
              <w:rPr>
                <w:rFonts w:ascii="Times" w:eastAsia="바탕" w:hAnsi="Times" w:cs="Times"/>
                <w:szCs w:val="24"/>
                <w:lang w:eastAsia="zh-CN"/>
              </w:rPr>
              <w:t>.</w:t>
            </w:r>
          </w:p>
          <w:p w14:paraId="003A37CA" w14:textId="77777777" w:rsidR="00E46D6C" w:rsidRPr="00E46D6C" w:rsidRDefault="00E46D6C" w:rsidP="00E46D6C">
            <w:pPr>
              <w:numPr>
                <w:ilvl w:val="0"/>
                <w:numId w:val="22"/>
              </w:numPr>
              <w:spacing w:before="0" w:after="0" w:line="220" w:lineRule="exact"/>
              <w:jc w:val="left"/>
              <w:rPr>
                <w:rFonts w:ascii="Times" w:eastAsia="바탕" w:hAnsi="Times" w:cs="Times"/>
                <w:szCs w:val="24"/>
                <w:lang w:eastAsia="ja-JP"/>
              </w:rPr>
            </w:pPr>
            <w:r w:rsidRPr="00E46D6C">
              <w:rPr>
                <w:rFonts w:ascii="Times" w:eastAsia="바탕" w:hAnsi="Times" w:cs="Times"/>
                <w:szCs w:val="24"/>
                <w:lang w:eastAsia="ja-JP"/>
              </w:rPr>
              <w:t>Note: Other studies are not precluded, as well as the combination of the above studies.</w:t>
            </w:r>
          </w:p>
          <w:p w14:paraId="547B010C" w14:textId="77777777" w:rsidR="00E46D6C" w:rsidRDefault="00E46D6C" w:rsidP="00E46D6C">
            <w:pPr>
              <w:spacing w:before="0" w:after="0" w:line="220" w:lineRule="exact"/>
              <w:ind w:left="0" w:firstLine="0"/>
              <w:rPr>
                <w:rFonts w:ascii="Times" w:eastAsia="바탕" w:hAnsi="Times" w:cs="Times"/>
                <w:iCs/>
                <w:szCs w:val="24"/>
                <w:lang w:eastAsia="x-none"/>
              </w:rPr>
            </w:pPr>
            <w:r w:rsidRPr="00E46D6C">
              <w:rPr>
                <w:rFonts w:ascii="Times" w:eastAsia="바탕" w:hAnsi="Times" w:cs="Times"/>
                <w:szCs w:val="24"/>
                <w:lang w:eastAsia="ja-JP"/>
              </w:rPr>
              <w:t xml:space="preserve">Follow the </w:t>
            </w:r>
            <w:r w:rsidRPr="00E46D6C">
              <w:rPr>
                <w:rFonts w:ascii="Times" w:eastAsia="바탕" w:hAnsi="Times" w:cs="Times"/>
                <w:iCs/>
                <w:szCs w:val="24"/>
                <w:lang w:eastAsia="x-none"/>
              </w:rPr>
              <w:t>common principle for assessment of the candidate capacity enhancement technique</w:t>
            </w:r>
          </w:p>
          <w:p w14:paraId="695051EA" w14:textId="77777777" w:rsidR="00E46D6C" w:rsidRPr="00E46D6C" w:rsidRDefault="00E46D6C" w:rsidP="00E46D6C">
            <w:pPr>
              <w:spacing w:before="0" w:after="0" w:line="220" w:lineRule="exact"/>
              <w:ind w:left="0" w:firstLine="0"/>
              <w:rPr>
                <w:rFonts w:ascii="Times" w:eastAsia="바탕" w:hAnsi="Times" w:cs="Times"/>
                <w:iCs/>
                <w:szCs w:val="24"/>
                <w:lang w:eastAsia="ko-KR"/>
              </w:rPr>
            </w:pPr>
          </w:p>
          <w:p w14:paraId="715E945C" w14:textId="77777777" w:rsidR="00E46D6C" w:rsidRPr="00E46D6C" w:rsidRDefault="00E46D6C" w:rsidP="00E46D6C">
            <w:pPr>
              <w:spacing w:before="0" w:after="0" w:line="220" w:lineRule="exact"/>
              <w:ind w:left="0" w:firstLine="0"/>
              <w:jc w:val="left"/>
              <w:rPr>
                <w:rFonts w:ascii="Times" w:eastAsia="바탕" w:hAnsi="Times" w:cs="Times"/>
                <w:b/>
                <w:bCs/>
                <w:szCs w:val="24"/>
                <w:highlight w:val="green"/>
                <w:lang w:eastAsia="x-none"/>
              </w:rPr>
            </w:pPr>
            <w:r w:rsidRPr="00E46D6C">
              <w:rPr>
                <w:rFonts w:ascii="Times" w:eastAsia="바탕" w:hAnsi="Times" w:cs="Times"/>
                <w:b/>
                <w:bCs/>
                <w:szCs w:val="24"/>
                <w:highlight w:val="green"/>
                <w:lang w:eastAsia="x-none"/>
              </w:rPr>
              <w:t>Agreement</w:t>
            </w:r>
          </w:p>
          <w:p w14:paraId="546E9078" w14:textId="77777777" w:rsidR="00E46D6C" w:rsidRPr="00E46D6C" w:rsidRDefault="00E46D6C" w:rsidP="00E46D6C">
            <w:pPr>
              <w:spacing w:before="0" w:after="0" w:line="220" w:lineRule="exact"/>
              <w:ind w:left="0" w:firstLine="0"/>
              <w:jc w:val="left"/>
              <w:rPr>
                <w:rFonts w:ascii="Times" w:eastAsia="바탕" w:hAnsi="Times" w:cs="Times"/>
                <w:szCs w:val="24"/>
                <w:lang w:eastAsia="ja-JP"/>
              </w:rPr>
            </w:pPr>
            <w:r w:rsidRPr="00E46D6C">
              <w:rPr>
                <w:rFonts w:ascii="Times" w:eastAsia="바탕" w:hAnsi="Times" w:cs="Times"/>
                <w:szCs w:val="24"/>
                <w:lang w:eastAsia="ja-JP"/>
              </w:rPr>
              <w:t>To study whether/how to support a candidate capacity enhancement technique for XR traffic based dynamic scheduling/grant transmissions, companies are encouraged to consider the following studies:</w:t>
            </w:r>
          </w:p>
          <w:p w14:paraId="30A93FF5" w14:textId="77777777" w:rsidR="00E46D6C" w:rsidRPr="00E46D6C" w:rsidRDefault="00E46D6C" w:rsidP="00E46D6C">
            <w:pPr>
              <w:numPr>
                <w:ilvl w:val="0"/>
                <w:numId w:val="22"/>
              </w:numPr>
              <w:spacing w:before="0" w:after="0" w:line="220" w:lineRule="exact"/>
              <w:jc w:val="left"/>
              <w:rPr>
                <w:rFonts w:ascii="Times" w:eastAsia="바탕" w:hAnsi="Times" w:cs="Times"/>
                <w:szCs w:val="24"/>
                <w:lang w:eastAsia="ja-JP"/>
              </w:rPr>
            </w:pPr>
            <w:r w:rsidRPr="00E46D6C">
              <w:rPr>
                <w:rFonts w:ascii="Times" w:eastAsia="바탕" w:hAnsi="Times" w:cs="Times"/>
                <w:szCs w:val="24"/>
                <w:lang w:eastAsia="ja-JP"/>
              </w:rPr>
              <w:t xml:space="preserve">Study enhancements related to extending </w:t>
            </w:r>
            <w:r w:rsidRPr="00E46D6C">
              <w:rPr>
                <w:rFonts w:ascii="Times" w:eastAsia="바탕" w:hAnsi="Times" w:cs="Times"/>
                <w:szCs w:val="24"/>
                <w:lang w:eastAsia="x-none"/>
              </w:rPr>
              <w:t xml:space="preserve">capability of </w:t>
            </w:r>
            <w:r w:rsidRPr="00E46D6C">
              <w:rPr>
                <w:rFonts w:ascii="Times" w:eastAsia="바탕" w:hAnsi="Times" w:cs="Times"/>
                <w:szCs w:val="24"/>
                <w:lang w:eastAsia="zh-CN"/>
              </w:rPr>
              <w:t>single DCI scheduling multi-PDSCHs/PUSCHs</w:t>
            </w:r>
            <w:r w:rsidRPr="00E46D6C">
              <w:rPr>
                <w:rFonts w:ascii="Times" w:eastAsia="바탕" w:hAnsi="Times" w:cs="Times"/>
                <w:szCs w:val="24"/>
                <w:lang w:eastAsia="x-none"/>
              </w:rPr>
              <w:t xml:space="preserve"> for FR2-2 to FR1/FR2.</w:t>
            </w:r>
          </w:p>
          <w:p w14:paraId="68077736" w14:textId="77777777" w:rsidR="00E46D6C" w:rsidRPr="00E46D6C" w:rsidRDefault="00E46D6C" w:rsidP="00E46D6C">
            <w:pPr>
              <w:numPr>
                <w:ilvl w:val="0"/>
                <w:numId w:val="22"/>
              </w:numPr>
              <w:spacing w:before="0" w:after="0" w:line="220" w:lineRule="exact"/>
              <w:jc w:val="left"/>
              <w:rPr>
                <w:rFonts w:ascii="Times" w:eastAsia="바탕" w:hAnsi="Times" w:cs="Times"/>
                <w:szCs w:val="24"/>
              </w:rPr>
            </w:pPr>
            <w:r w:rsidRPr="00E46D6C">
              <w:rPr>
                <w:rFonts w:ascii="Times" w:eastAsia="바탕" w:hAnsi="Times" w:cs="Times"/>
                <w:szCs w:val="24"/>
              </w:rPr>
              <w:t>Note: whether and how to discuss enhancements may depend on the outcome of Rel-17 B52.6G UE feature discussion</w:t>
            </w:r>
          </w:p>
          <w:p w14:paraId="01755153" w14:textId="77777777" w:rsidR="00E46D6C" w:rsidRPr="00E46D6C" w:rsidRDefault="00E46D6C" w:rsidP="00E46D6C">
            <w:pPr>
              <w:numPr>
                <w:ilvl w:val="0"/>
                <w:numId w:val="22"/>
              </w:numPr>
              <w:spacing w:before="0" w:after="0" w:line="220" w:lineRule="exact"/>
              <w:jc w:val="left"/>
              <w:rPr>
                <w:rFonts w:ascii="Times" w:eastAsia="바탕" w:hAnsi="Times" w:cs="Times"/>
                <w:szCs w:val="24"/>
                <w:lang w:eastAsia="ja-JP"/>
              </w:rPr>
            </w:pPr>
            <w:r w:rsidRPr="00E46D6C">
              <w:rPr>
                <w:rFonts w:ascii="Times" w:eastAsia="바탕" w:hAnsi="Times" w:cs="Times"/>
                <w:szCs w:val="24"/>
                <w:lang w:eastAsia="x-none"/>
              </w:rPr>
              <w:t xml:space="preserve">Study </w:t>
            </w:r>
            <w:r w:rsidRPr="00E46D6C">
              <w:rPr>
                <w:rFonts w:ascii="Times" w:eastAsia="바탕" w:hAnsi="Times" w:cs="Times"/>
                <w:szCs w:val="24"/>
                <w:lang w:eastAsia="ja-JP"/>
              </w:rPr>
              <w:t xml:space="preserve">enhancements related to </w:t>
            </w:r>
            <w:r w:rsidRPr="00E46D6C">
              <w:rPr>
                <w:rFonts w:ascii="Times" w:eastAsia="바탕" w:hAnsi="Times" w:cs="Times"/>
                <w:szCs w:val="24"/>
                <w:lang w:eastAsia="zh-CN"/>
              </w:rPr>
              <w:t>HARQ-ACK and/or CBG transmissions for single DCI scheduling one or multi PDSCH(s).</w:t>
            </w:r>
          </w:p>
          <w:p w14:paraId="0CBD968D" w14:textId="77777777" w:rsidR="00E46D6C" w:rsidRPr="00E46D6C" w:rsidRDefault="00E46D6C" w:rsidP="00E46D6C">
            <w:pPr>
              <w:numPr>
                <w:ilvl w:val="0"/>
                <w:numId w:val="22"/>
              </w:numPr>
              <w:spacing w:before="0" w:after="0" w:line="220" w:lineRule="exact"/>
              <w:jc w:val="left"/>
              <w:rPr>
                <w:rFonts w:ascii="Times" w:eastAsia="바탕" w:hAnsi="Times" w:cs="Times"/>
                <w:strike/>
                <w:szCs w:val="24"/>
                <w:lang w:eastAsia="ja-JP"/>
              </w:rPr>
            </w:pPr>
            <w:r w:rsidRPr="00E46D6C">
              <w:rPr>
                <w:rFonts w:ascii="Times" w:eastAsia="바탕" w:hAnsi="Times" w:cs="Times"/>
                <w:szCs w:val="24"/>
                <w:lang w:eastAsia="x-none"/>
              </w:rPr>
              <w:t xml:space="preserve">Study </w:t>
            </w:r>
            <w:r w:rsidRPr="00E46D6C">
              <w:rPr>
                <w:rFonts w:ascii="Times" w:eastAsia="바탕" w:hAnsi="Times" w:cs="Times"/>
                <w:szCs w:val="24"/>
                <w:lang w:eastAsia="ja-JP"/>
              </w:rPr>
              <w:t xml:space="preserve">enhancements related to </w:t>
            </w:r>
            <w:r w:rsidRPr="00E46D6C">
              <w:rPr>
                <w:rFonts w:ascii="Times" w:eastAsia="바탕" w:hAnsi="Times" w:cs="Times"/>
                <w:szCs w:val="24"/>
                <w:lang w:eastAsia="x-none"/>
              </w:rPr>
              <w:t>allowing d</w:t>
            </w:r>
            <w:r w:rsidRPr="00E46D6C">
              <w:rPr>
                <w:rFonts w:ascii="Times" w:eastAsia="바탕" w:hAnsi="Times" w:cs="Times"/>
                <w:szCs w:val="24"/>
                <w:lang w:eastAsia="zh-CN"/>
              </w:rPr>
              <w:t>ifferent configurations per PDSCH/PUSCH</w:t>
            </w:r>
          </w:p>
          <w:p w14:paraId="604557F1" w14:textId="77777777" w:rsidR="00E46D6C" w:rsidRPr="00E46D6C" w:rsidRDefault="00E46D6C" w:rsidP="00E46D6C">
            <w:pPr>
              <w:numPr>
                <w:ilvl w:val="0"/>
                <w:numId w:val="22"/>
              </w:numPr>
              <w:spacing w:before="0" w:after="0" w:line="220" w:lineRule="exact"/>
              <w:jc w:val="left"/>
              <w:rPr>
                <w:rFonts w:ascii="Times" w:eastAsia="바탕" w:hAnsi="Times" w:cs="Times"/>
                <w:szCs w:val="24"/>
                <w:lang w:eastAsia="ja-JP"/>
              </w:rPr>
            </w:pPr>
            <w:r w:rsidRPr="00E46D6C">
              <w:rPr>
                <w:rFonts w:ascii="Times" w:eastAsia="바탕" w:hAnsi="Times" w:cs="Times"/>
                <w:szCs w:val="24"/>
                <w:lang w:eastAsia="ja-JP"/>
              </w:rPr>
              <w:t xml:space="preserve">Study </w:t>
            </w:r>
            <w:r w:rsidRPr="00E46D6C">
              <w:rPr>
                <w:rFonts w:ascii="Times" w:eastAsia="바탕" w:hAnsi="Times" w:cs="Times"/>
                <w:szCs w:val="24"/>
                <w:lang w:eastAsia="zh-CN"/>
              </w:rPr>
              <w:t xml:space="preserve">enhancement </w:t>
            </w:r>
            <w:r w:rsidRPr="00E46D6C">
              <w:rPr>
                <w:rFonts w:ascii="Times" w:eastAsia="바탕" w:hAnsi="Times" w:cs="Times"/>
                <w:szCs w:val="24"/>
                <w:lang w:eastAsia="x-none"/>
              </w:rPr>
              <w:t xml:space="preserve">related to </w:t>
            </w:r>
            <w:r w:rsidRPr="00E46D6C">
              <w:rPr>
                <w:rFonts w:ascii="Times" w:eastAsia="바탕" w:hAnsi="Times" w:cs="Times"/>
                <w:szCs w:val="24"/>
                <w:lang w:eastAsia="zh-CN"/>
              </w:rPr>
              <w:t>scheduling request</w:t>
            </w:r>
            <w:r w:rsidRPr="00E46D6C">
              <w:rPr>
                <w:rFonts w:ascii="Times" w:eastAsia="바탕" w:hAnsi="Times" w:cs="Times"/>
                <w:szCs w:val="24"/>
                <w:lang w:eastAsia="x-none"/>
              </w:rPr>
              <w:t xml:space="preserve"> and/or BSR with the focus on L1 enhancements.</w:t>
            </w:r>
          </w:p>
          <w:p w14:paraId="5F4BB125" w14:textId="77777777" w:rsidR="00E46D6C" w:rsidRPr="00E46D6C" w:rsidRDefault="00E46D6C" w:rsidP="00E46D6C">
            <w:pPr>
              <w:numPr>
                <w:ilvl w:val="0"/>
                <w:numId w:val="22"/>
              </w:numPr>
              <w:spacing w:before="0" w:after="0" w:line="220" w:lineRule="exact"/>
              <w:jc w:val="left"/>
              <w:rPr>
                <w:rFonts w:ascii="Times" w:eastAsia="바탕" w:hAnsi="Times" w:cs="Times"/>
                <w:szCs w:val="24"/>
                <w:lang w:eastAsia="ja-JP"/>
              </w:rPr>
            </w:pPr>
            <w:r w:rsidRPr="00E46D6C">
              <w:rPr>
                <w:rFonts w:ascii="Times" w:eastAsia="바탕" w:hAnsi="Times" w:cs="Times"/>
                <w:szCs w:val="24"/>
                <w:lang w:eastAsia="ja-JP"/>
              </w:rPr>
              <w:t>Note: Other studies are not precluded as well as the combination of the above studies.</w:t>
            </w:r>
          </w:p>
          <w:p w14:paraId="75D7D2DF" w14:textId="77777777" w:rsidR="00E46D6C" w:rsidRPr="00E46D6C" w:rsidRDefault="00E46D6C" w:rsidP="00E46D6C">
            <w:pPr>
              <w:numPr>
                <w:ilvl w:val="0"/>
                <w:numId w:val="22"/>
              </w:numPr>
              <w:spacing w:before="0" w:after="0" w:line="220" w:lineRule="exact"/>
              <w:jc w:val="left"/>
              <w:rPr>
                <w:rFonts w:ascii="Times" w:eastAsia="바탕" w:hAnsi="Times" w:cs="Times"/>
                <w:szCs w:val="24"/>
                <w:lang w:eastAsia="ja-JP"/>
              </w:rPr>
            </w:pPr>
            <w:r w:rsidRPr="00E46D6C">
              <w:rPr>
                <w:rFonts w:ascii="Times" w:eastAsia="바탕" w:hAnsi="Times" w:cs="Times"/>
                <w:szCs w:val="24"/>
                <w:lang w:eastAsia="ja-JP"/>
              </w:rPr>
              <w:t xml:space="preserve">Follow the </w:t>
            </w:r>
            <w:r w:rsidRPr="00E46D6C">
              <w:rPr>
                <w:rFonts w:ascii="Times" w:eastAsia="바탕" w:hAnsi="Times" w:cs="Times"/>
                <w:i/>
                <w:iCs/>
                <w:szCs w:val="24"/>
                <w:lang w:eastAsia="x-none"/>
              </w:rPr>
              <w:t>common principle for assessment of the candidate capacity enhancement technique.</w:t>
            </w:r>
          </w:p>
          <w:p w14:paraId="41E3E56F" w14:textId="77777777" w:rsidR="00C12217" w:rsidRPr="00E46D6C" w:rsidRDefault="00C12217" w:rsidP="00E46D6C">
            <w:pPr>
              <w:overflowPunct w:val="0"/>
              <w:autoSpaceDE w:val="0"/>
              <w:autoSpaceDN w:val="0"/>
              <w:adjustRightInd w:val="0"/>
              <w:spacing w:before="0" w:line="220" w:lineRule="exact"/>
              <w:jc w:val="left"/>
              <w:textAlignment w:val="baseline"/>
              <w:rPr>
                <w:bCs/>
                <w:iCs/>
                <w:szCs w:val="22"/>
              </w:rPr>
            </w:pPr>
          </w:p>
          <w:p w14:paraId="2320E15D" w14:textId="77777777" w:rsidR="003B4FC4" w:rsidRPr="003B4FC4" w:rsidRDefault="003B4FC4" w:rsidP="00E46D6C">
            <w:pPr>
              <w:spacing w:before="0" w:after="0" w:line="220" w:lineRule="exact"/>
              <w:ind w:left="0" w:firstLine="0"/>
              <w:jc w:val="left"/>
              <w:rPr>
                <w:rFonts w:ascii="Times" w:eastAsia="바탕" w:hAnsi="Times" w:cs="Times"/>
                <w:b/>
                <w:bCs/>
                <w:highlight w:val="green"/>
                <w:lang w:eastAsia="ja-JP"/>
              </w:rPr>
            </w:pPr>
            <w:r w:rsidRPr="003B4FC4">
              <w:rPr>
                <w:rFonts w:ascii="Times" w:eastAsia="바탕" w:hAnsi="Times" w:cs="Times"/>
                <w:b/>
                <w:bCs/>
                <w:highlight w:val="green"/>
                <w:lang w:eastAsia="ja-JP"/>
              </w:rPr>
              <w:t>Agreement</w:t>
            </w:r>
          </w:p>
          <w:p w14:paraId="3F7277CA" w14:textId="77777777" w:rsidR="003B4FC4" w:rsidRPr="003B4FC4" w:rsidRDefault="003B4FC4" w:rsidP="00E46D6C">
            <w:pPr>
              <w:spacing w:before="0" w:after="0" w:line="220" w:lineRule="exact"/>
              <w:ind w:left="0" w:firstLine="0"/>
              <w:jc w:val="left"/>
              <w:rPr>
                <w:rFonts w:ascii="PMingLiU" w:eastAsia="맑은 고딕" w:hAnsi="PMingLiU"/>
                <w:szCs w:val="24"/>
                <w:lang w:val="en-US" w:eastAsia="zh-TW"/>
              </w:rPr>
            </w:pPr>
            <w:r w:rsidRPr="003B4FC4">
              <w:rPr>
                <w:rFonts w:ascii="Times" w:eastAsia="바탕" w:hAnsi="Times" w:cs="Times"/>
                <w:lang w:eastAsia="ja-JP"/>
              </w:rPr>
              <w:t>The following lists the candidate enhancements techniques to improve XR capacity that are proposed by companies RAN1#109-e.</w:t>
            </w:r>
          </w:p>
          <w:p w14:paraId="256A5368" w14:textId="77777777" w:rsidR="003B4FC4" w:rsidRPr="003B4FC4" w:rsidRDefault="003B4FC4" w:rsidP="00E46D6C">
            <w:pPr>
              <w:numPr>
                <w:ilvl w:val="0"/>
                <w:numId w:val="20"/>
              </w:numPr>
              <w:spacing w:before="0" w:after="0" w:line="220" w:lineRule="exact"/>
              <w:jc w:val="left"/>
              <w:rPr>
                <w:rFonts w:ascii="Times" w:eastAsia="바탕" w:hAnsi="Times"/>
                <w:szCs w:val="24"/>
                <w:lang w:eastAsia="zh-TW"/>
              </w:rPr>
            </w:pPr>
            <w:r w:rsidRPr="003B4FC4">
              <w:rPr>
                <w:rFonts w:ascii="Times" w:eastAsia="바탕" w:hAnsi="Times" w:cs="Times"/>
                <w:lang w:eastAsia="ja-JP"/>
              </w:rPr>
              <w:t xml:space="preserve">At least the proponents are encouraged to justify the corresponding capacity benefits for XR traffic for considering potential study of these candidate enhancements techniques.  </w:t>
            </w:r>
          </w:p>
          <w:p w14:paraId="7B0E7A25" w14:textId="77777777" w:rsidR="003B4FC4" w:rsidRPr="003B4FC4" w:rsidRDefault="003B4FC4" w:rsidP="00E46D6C">
            <w:pPr>
              <w:numPr>
                <w:ilvl w:val="1"/>
                <w:numId w:val="20"/>
              </w:numPr>
              <w:spacing w:before="0" w:after="0" w:line="220" w:lineRule="exact"/>
              <w:jc w:val="left"/>
              <w:rPr>
                <w:rFonts w:ascii="Times" w:eastAsia="바탕" w:hAnsi="Times"/>
                <w:szCs w:val="24"/>
                <w:lang w:eastAsia="zh-TW"/>
              </w:rPr>
            </w:pPr>
            <w:r w:rsidRPr="003B4FC4">
              <w:rPr>
                <w:rFonts w:ascii="Times" w:eastAsia="바탕" w:hAnsi="Times" w:cs="Times"/>
                <w:lang w:eastAsia="zh-CN"/>
              </w:rPr>
              <w:t>I</w:t>
            </w:r>
            <w:r w:rsidRPr="003B4FC4">
              <w:rPr>
                <w:rFonts w:ascii="Times" w:eastAsia="바탕" w:hAnsi="Times" w:cs="Times"/>
                <w:lang w:val="fr-FR" w:eastAsia="zh-TW"/>
              </w:rPr>
              <w:t>nt</w:t>
            </w:r>
            <w:r w:rsidRPr="003B4FC4">
              <w:rPr>
                <w:rFonts w:ascii="Times" w:eastAsia="바탕" w:hAnsi="Times" w:cs="Times"/>
                <w:lang w:eastAsia="zh-CN"/>
              </w:rPr>
              <w:t>er</w:t>
            </w:r>
            <w:r w:rsidRPr="003B4FC4">
              <w:rPr>
                <w:rFonts w:ascii="Times" w:eastAsia="바탕" w:hAnsi="Times" w:cs="Times"/>
                <w:lang w:val="fr-FR" w:eastAsia="zh-TW"/>
              </w:rPr>
              <w:t>-UE</w:t>
            </w:r>
            <w:r w:rsidRPr="003B4FC4">
              <w:rPr>
                <w:rFonts w:ascii="Times" w:eastAsia="바탕" w:hAnsi="Times" w:cs="Times"/>
                <w:lang w:eastAsia="zh-CN"/>
              </w:rPr>
              <w:t>/intra-UE</w:t>
            </w:r>
            <w:r w:rsidRPr="003B4FC4">
              <w:rPr>
                <w:rFonts w:ascii="Times" w:eastAsia="바탕" w:hAnsi="Times" w:cs="Times"/>
                <w:lang w:val="fr-FR" w:eastAsia="zh-TW"/>
              </w:rPr>
              <w:t xml:space="preserve"> multiplexing</w:t>
            </w:r>
            <w:r w:rsidRPr="003B4FC4">
              <w:rPr>
                <w:rFonts w:ascii="Times" w:eastAsia="바탕" w:hAnsi="Times" w:cs="Times"/>
                <w:lang w:val="fr-FR" w:eastAsia="zh-CN"/>
              </w:rPr>
              <w:t xml:space="preserve"> </w:t>
            </w:r>
            <w:r w:rsidRPr="003B4FC4">
              <w:rPr>
                <w:rFonts w:ascii="Times" w:eastAsia="바탕" w:hAnsi="Times" w:cs="Times"/>
                <w:lang w:eastAsia="zh-CN"/>
              </w:rPr>
              <w:t>techniques, including e.g. finer granularity preemption indication</w:t>
            </w:r>
          </w:p>
          <w:p w14:paraId="7570D493" w14:textId="77777777" w:rsidR="003B4FC4" w:rsidRPr="003B4FC4" w:rsidRDefault="003B4FC4" w:rsidP="00E46D6C">
            <w:pPr>
              <w:numPr>
                <w:ilvl w:val="0"/>
                <w:numId w:val="20"/>
              </w:numPr>
              <w:spacing w:before="0" w:after="0" w:line="220" w:lineRule="exact"/>
              <w:jc w:val="left"/>
              <w:rPr>
                <w:rFonts w:ascii="Times" w:eastAsia="바탕" w:hAnsi="Times"/>
                <w:szCs w:val="24"/>
                <w:lang w:eastAsia="zh-TW"/>
              </w:rPr>
            </w:pPr>
            <w:r w:rsidRPr="003B4FC4">
              <w:rPr>
                <w:rFonts w:ascii="Times" w:eastAsia="바탕" w:hAnsi="Times" w:cs="Times"/>
                <w:lang w:eastAsia="ja-JP"/>
              </w:rPr>
              <w:t xml:space="preserve">Follow the </w:t>
            </w:r>
            <w:r w:rsidRPr="003B4FC4">
              <w:rPr>
                <w:rFonts w:ascii="Times" w:eastAsia="바탕" w:hAnsi="Times" w:cs="Times"/>
                <w:i/>
                <w:iCs/>
                <w:lang w:eastAsia="zh-TW"/>
              </w:rPr>
              <w:t>common principle for assessment of the candidate capacity enhancement technique.</w:t>
            </w:r>
          </w:p>
          <w:p w14:paraId="2F6028D4" w14:textId="00753ED0" w:rsidR="003B4FC4" w:rsidRPr="003B4FC4" w:rsidRDefault="003B4FC4" w:rsidP="00E46D6C">
            <w:pPr>
              <w:overflowPunct w:val="0"/>
              <w:autoSpaceDE w:val="0"/>
              <w:autoSpaceDN w:val="0"/>
              <w:adjustRightInd w:val="0"/>
              <w:spacing w:before="0" w:line="220" w:lineRule="exact"/>
              <w:jc w:val="left"/>
              <w:textAlignment w:val="baseline"/>
              <w:rPr>
                <w:bCs/>
                <w:iCs/>
                <w:szCs w:val="22"/>
              </w:rPr>
            </w:pP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lastRenderedPageBreak/>
        <w:t>Discussion</w:t>
      </w:r>
    </w:p>
    <w:p w14:paraId="32E84F82" w14:textId="77777777" w:rsidR="00962A84" w:rsidRDefault="00694D1C" w:rsidP="00B04CE0">
      <w:pPr>
        <w:pStyle w:val="Doc"/>
      </w:pPr>
      <w:r>
        <w:rPr>
          <w:rFonts w:hint="eastAsia"/>
        </w:rPr>
        <w:t>I</w:t>
      </w:r>
      <w:r w:rsidR="00FC4310" w:rsidRPr="00FC4310">
        <w:t>n this contribution, we present our view</w:t>
      </w:r>
      <w:r w:rsidR="00A8576C">
        <w:t>s</w:t>
      </w:r>
      <w:r w:rsidR="00FC4310" w:rsidRPr="00FC4310">
        <w:t xml:space="preserve"> on </w:t>
      </w:r>
      <w:r w:rsidR="00E3030E">
        <w:t>the</w:t>
      </w:r>
      <w:r w:rsidR="00557DBD">
        <w:t xml:space="preserve"> potential enhancements of </w:t>
      </w:r>
      <w:r w:rsidR="00B04CE0">
        <w:t>capacity enhancement</w:t>
      </w:r>
      <w:r w:rsidR="00557DBD" w:rsidRPr="00557DBD">
        <w:t xml:space="preserve"> techniques</w:t>
      </w:r>
      <w:r w:rsidR="00557DBD">
        <w:t xml:space="preserve"> for XR</w:t>
      </w:r>
      <w:r w:rsidR="00270455">
        <w:t>.</w:t>
      </w:r>
      <w:r w:rsidR="00F72FF9">
        <w:t xml:space="preserve"> </w:t>
      </w:r>
    </w:p>
    <w:p w14:paraId="49112C96" w14:textId="77777777" w:rsidR="00962A84" w:rsidRDefault="00962A84" w:rsidP="00B04CE0">
      <w:pPr>
        <w:pStyle w:val="Doc"/>
      </w:pPr>
    </w:p>
    <w:p w14:paraId="22F67BA8" w14:textId="01009206" w:rsidR="008F605A" w:rsidRDefault="008F605A" w:rsidP="008F605A">
      <w:pPr>
        <w:pStyle w:val="2"/>
      </w:pPr>
      <w:r>
        <w:t>Dynamic scheduling</w:t>
      </w:r>
      <w:r w:rsidRPr="008F605A">
        <w:t xml:space="preserve"> enhancement for XR-specific capacity improvement</w:t>
      </w:r>
    </w:p>
    <w:p w14:paraId="46D8610E" w14:textId="77777777" w:rsidR="00962A84" w:rsidRDefault="00F72FF9" w:rsidP="00962A84">
      <w:pPr>
        <w:pStyle w:val="Doc"/>
      </w:pPr>
      <w:r>
        <w:rPr>
          <w:rFonts w:hint="eastAsia"/>
        </w:rPr>
        <w:t xml:space="preserve">To </w:t>
      </w:r>
      <w:r>
        <w:t>improve</w:t>
      </w:r>
      <w:r>
        <w:rPr>
          <w:rFonts w:hint="eastAsia"/>
        </w:rPr>
        <w:t xml:space="preserve"> capacity, </w:t>
      </w:r>
      <w:r>
        <w:t xml:space="preserve">it is important to ensure less PDCCH blockage so that a number of UE can be scheduled without an issue. </w:t>
      </w:r>
      <w:r w:rsidR="00962A84">
        <w:t>In the last meeting, it is discussed to utilize</w:t>
      </w:r>
      <w:r w:rsidR="00962A84" w:rsidRPr="00F72FF9">
        <w:t xml:space="preserve"> </w:t>
      </w:r>
      <w:r w:rsidR="00962A84">
        <w:t xml:space="preserve">UE capability of </w:t>
      </w:r>
      <w:r w:rsidR="00962A84" w:rsidRPr="00F72FF9">
        <w:t>single DCI scheduling multi-PDSCHs/PUSCHs</w:t>
      </w:r>
      <w:r w:rsidR="00962A84">
        <w:t xml:space="preserve"> for XR capacity improvement. Since XR traffic could have a pattern and periodicity, the single DCI scheduling </w:t>
      </w:r>
      <w:r w:rsidR="00962A84" w:rsidRPr="00F72FF9">
        <w:t>multi-PDSCHs/PUSCHs</w:t>
      </w:r>
      <w:r w:rsidR="00962A84">
        <w:t xml:space="preserve"> could save the number of DCI. It seems clear that the capability is beneficial for XR capacity improvement. </w:t>
      </w:r>
    </w:p>
    <w:p w14:paraId="761030E5" w14:textId="3239203F" w:rsidR="00962A84" w:rsidRDefault="00962A84" w:rsidP="00962A84">
      <w:pPr>
        <w:pStyle w:val="Doc"/>
      </w:pPr>
      <w:r>
        <w:rPr>
          <w:rFonts w:hint="eastAsia"/>
        </w:rPr>
        <w:t xml:space="preserve">One thing is </w:t>
      </w:r>
      <w:r>
        <w:t xml:space="preserve">that </w:t>
      </w:r>
      <w:r>
        <w:rPr>
          <w:rFonts w:hint="eastAsia"/>
        </w:rPr>
        <w:t xml:space="preserve">the </w:t>
      </w:r>
      <w:r>
        <w:t>capability</w:t>
      </w:r>
      <w:r>
        <w:rPr>
          <w:rFonts w:hint="eastAsia"/>
        </w:rPr>
        <w:t xml:space="preserve"> </w:t>
      </w:r>
      <w:r>
        <w:t xml:space="preserve">supporting multi-PUSCH scheduling is for unlicensed-band operation and it has been extended as multi-PUSCH/PDSCH scheduling for higher frequency range like FR2-2. Thus, currently it is not possible to re-use the capability for XR in FR1/2. It would be necessary to wait outcome of related UE feature discussion. </w:t>
      </w:r>
    </w:p>
    <w:p w14:paraId="631F41C4" w14:textId="7C548C30" w:rsidR="00962A84" w:rsidRDefault="00962A84" w:rsidP="00962A84">
      <w:pPr>
        <w:pStyle w:val="rProposal"/>
      </w:pPr>
      <w:r>
        <w:rPr>
          <w:rFonts w:hint="eastAsia"/>
        </w:rPr>
        <w:t>Proposal</w:t>
      </w:r>
      <w:r>
        <w:t xml:space="preserve"> </w:t>
      </w:r>
      <w:r w:rsidR="005E17E6">
        <w:t>1</w:t>
      </w:r>
      <w:r>
        <w:rPr>
          <w:rFonts w:hint="eastAsia"/>
        </w:rPr>
        <w:t xml:space="preserve">: </w:t>
      </w:r>
      <w:r w:rsidRPr="00962A84">
        <w:t xml:space="preserve">It is </w:t>
      </w:r>
      <w:r>
        <w:t xml:space="preserve">beneficial </w:t>
      </w:r>
      <w:r w:rsidRPr="00962A84">
        <w:t>to re-use</w:t>
      </w:r>
      <w:r>
        <w:t xml:space="preserve"> the </w:t>
      </w:r>
      <w:r w:rsidRPr="00962A84">
        <w:t>UE capability of single DCI scheduling multi-PDSCHs/PUSCHs for XR capacity improvement</w:t>
      </w:r>
      <w:r>
        <w:t>.</w:t>
      </w:r>
    </w:p>
    <w:p w14:paraId="31DF84D1" w14:textId="4FD08B7E" w:rsidR="00962A84" w:rsidRDefault="00962A84" w:rsidP="00962A84">
      <w:pPr>
        <w:pStyle w:val="rProposal"/>
        <w:numPr>
          <w:ilvl w:val="0"/>
          <w:numId w:val="24"/>
        </w:numPr>
        <w:ind w:firstLineChars="0"/>
      </w:pPr>
      <w:r>
        <w:t xml:space="preserve">It is necessary to wait </w:t>
      </w:r>
      <w:r w:rsidRPr="00962A84">
        <w:t>the outcome of Rel-17 B52.6G UE feature discussion</w:t>
      </w:r>
      <w:r>
        <w:t xml:space="preserve">. </w:t>
      </w:r>
    </w:p>
    <w:p w14:paraId="696AA270" w14:textId="4B8C94A0" w:rsidR="00F72FF9" w:rsidRDefault="00FF63E6" w:rsidP="00D02A92">
      <w:pPr>
        <w:pStyle w:val="Doc"/>
      </w:pPr>
      <w:r>
        <w:t xml:space="preserve">Once the </w:t>
      </w:r>
      <w:r w:rsidRPr="00FF63E6">
        <w:t>single DCI scheduling multi-PDSCHs/PUSCHs</w:t>
      </w:r>
      <w:r>
        <w:t xml:space="preserve"> is supported for XR, gNB would be able to control PDSCH/PUSCH resource size according to XR traffic pattern, like I/P video frame. Considering PDB for XR services, HARQ-ACK for multiple PDSCH may need or reported in the middle of multiple PDSCH receptions or to be disabled</w:t>
      </w:r>
    </w:p>
    <w:p w14:paraId="02EB5FF7" w14:textId="52930433" w:rsidR="00FF63E6" w:rsidRDefault="00FF63E6" w:rsidP="00FF63E6">
      <w:pPr>
        <w:pStyle w:val="rProposal"/>
      </w:pPr>
      <w:r>
        <w:rPr>
          <w:rFonts w:hint="eastAsia"/>
        </w:rPr>
        <w:t>Proposal</w:t>
      </w:r>
      <w:r>
        <w:t xml:space="preserve"> </w:t>
      </w:r>
      <w:r w:rsidR="005E17E6">
        <w:t>2</w:t>
      </w:r>
      <w:r>
        <w:rPr>
          <w:rFonts w:hint="eastAsia"/>
        </w:rPr>
        <w:t xml:space="preserve">: </w:t>
      </w:r>
      <w:r w:rsidRPr="00962A84">
        <w:t xml:space="preserve">It is </w:t>
      </w:r>
      <w:r>
        <w:t xml:space="preserve">necessary </w:t>
      </w:r>
      <w:r w:rsidRPr="00962A84">
        <w:t xml:space="preserve">to </w:t>
      </w:r>
      <w:r>
        <w:t>investigate enhanced HARQ-ACK timing for</w:t>
      </w:r>
      <w:r w:rsidRPr="00962A84">
        <w:t xml:space="preserve"> single DCI scheduling multi-PDSCHs/PUSCHs</w:t>
      </w:r>
      <w:r>
        <w:t>.</w:t>
      </w:r>
    </w:p>
    <w:p w14:paraId="6B2EAB71" w14:textId="77777777" w:rsidR="00FF63E6" w:rsidRPr="00FF63E6" w:rsidRDefault="00FF63E6" w:rsidP="00D02A92">
      <w:pPr>
        <w:pStyle w:val="Doc"/>
        <w:rPr>
          <w:lang w:val="en-GB"/>
        </w:rPr>
      </w:pPr>
    </w:p>
    <w:p w14:paraId="256A07EE" w14:textId="41C3C8C8" w:rsidR="0080728E" w:rsidRDefault="00D02A92" w:rsidP="00D02A92">
      <w:pPr>
        <w:pStyle w:val="Doc"/>
      </w:pPr>
      <w:r>
        <w:t xml:space="preserve">In case of uplink, SR may be transmitted for </w:t>
      </w:r>
      <w:r w:rsidR="0080728E">
        <w:t xml:space="preserve">requesting </w:t>
      </w:r>
      <w:r>
        <w:t xml:space="preserve">dynamic scheduling. Considering stringent requirement of XR service, </w:t>
      </w:r>
      <w:r w:rsidR="0080728E">
        <w:t xml:space="preserve">any kind of SR enhancement can be considered. Currently, SR resource and configured are corresponding to logical channel in MAC layer. Thus, possible SR enhancement would be dependent </w:t>
      </w:r>
      <w:r w:rsidR="0080728E">
        <w:rPr>
          <w:lang w:val="en-GB"/>
        </w:rPr>
        <w:t xml:space="preserve">whether it is possible for UE and gNB to exchange higher layer information including XR-specific traffic characteristic. </w:t>
      </w:r>
      <w:r w:rsidR="00FF63E6">
        <w:rPr>
          <w:lang w:val="en-GB"/>
        </w:rPr>
        <w:t xml:space="preserve">Also, BSR can be enhanced to report XR-specific traffic characteristic in the UE buffer. </w:t>
      </w:r>
    </w:p>
    <w:p w14:paraId="594B662C" w14:textId="6D14EE9E" w:rsidR="0080728E" w:rsidRPr="00EF5695" w:rsidRDefault="0080728E" w:rsidP="0080728E">
      <w:pPr>
        <w:pStyle w:val="rProposal"/>
      </w:pPr>
      <w:r>
        <w:t xml:space="preserve">Proposal </w:t>
      </w:r>
      <w:r w:rsidR="005E17E6">
        <w:t>3</w:t>
      </w:r>
      <w:r>
        <w:t xml:space="preserve">: </w:t>
      </w:r>
      <w:r>
        <w:rPr>
          <w:rFonts w:hint="eastAsia"/>
          <w:lang w:val="en-US"/>
        </w:rPr>
        <w:t>For XR-s</w:t>
      </w:r>
      <w:r>
        <w:rPr>
          <w:lang w:val="en-US"/>
        </w:rPr>
        <w:t xml:space="preserve">pecific capacity improvement, enhancement on </w:t>
      </w:r>
      <w:r w:rsidR="00FF63E6">
        <w:rPr>
          <w:lang w:val="en-US"/>
        </w:rPr>
        <w:t>SR/BSR</w:t>
      </w:r>
      <w:r>
        <w:rPr>
          <w:lang w:val="en-US"/>
        </w:rPr>
        <w:t xml:space="preserve"> can be considered.</w:t>
      </w:r>
    </w:p>
    <w:p w14:paraId="45535730" w14:textId="77498E7D" w:rsidR="0080728E" w:rsidRDefault="00FF63E6" w:rsidP="0014003F">
      <w:pPr>
        <w:pStyle w:val="Doc"/>
        <w:rPr>
          <w:lang w:val="en-GB"/>
        </w:rPr>
      </w:pPr>
      <w:r>
        <w:rPr>
          <w:lang w:val="en-GB"/>
        </w:rPr>
        <w:t>I</w:t>
      </w:r>
      <w:r>
        <w:rPr>
          <w:rFonts w:hint="eastAsia"/>
          <w:lang w:val="en-GB"/>
        </w:rPr>
        <w:t xml:space="preserve">f PDB </w:t>
      </w:r>
      <w:r>
        <w:rPr>
          <w:lang w:val="en-GB"/>
        </w:rPr>
        <w:t>information</w:t>
      </w:r>
      <w:r>
        <w:rPr>
          <w:rFonts w:hint="eastAsia"/>
          <w:lang w:val="en-GB"/>
        </w:rPr>
        <w:t xml:space="preserve"> </w:t>
      </w:r>
      <w:r>
        <w:rPr>
          <w:lang w:val="en-GB"/>
        </w:rPr>
        <w:t>can be considered in the MAC layer, it would be beneficial to indicate required PDB in s</w:t>
      </w:r>
      <w:r w:rsidR="00167001">
        <w:rPr>
          <w:lang w:val="en-GB"/>
        </w:rPr>
        <w:t xml:space="preserve">cheduling request. For example, 2-bit SR can be considered for PDB indication. Then, UE can request UL </w:t>
      </w:r>
      <w:r w:rsidR="00167001">
        <w:rPr>
          <w:lang w:val="en-GB"/>
        </w:rPr>
        <w:lastRenderedPageBreak/>
        <w:t xml:space="preserve">resource which meets PDB requirement for certain logical channel. Or, UE can report least PDB of data in UE buffer via BSR information. </w:t>
      </w:r>
    </w:p>
    <w:p w14:paraId="49A24527" w14:textId="57131849" w:rsidR="00167001" w:rsidRPr="00EF5695" w:rsidRDefault="00167001" w:rsidP="00167001">
      <w:pPr>
        <w:pStyle w:val="rProposal"/>
      </w:pPr>
      <w:r>
        <w:t xml:space="preserve">Proposal </w:t>
      </w:r>
      <w:r w:rsidR="005E17E6">
        <w:t>4</w:t>
      </w:r>
      <w:r>
        <w:t>: If scheduling techniques for</w:t>
      </w:r>
      <w:r w:rsidRPr="00167001">
        <w:t xml:space="preserve"> XR-awareness information </w:t>
      </w:r>
      <w:r>
        <w:t>is supported,</w:t>
      </w:r>
      <w:r>
        <w:rPr>
          <w:lang w:val="en-US"/>
        </w:rPr>
        <w:t xml:space="preserve"> PDB information can be reported via SR/BSR</w:t>
      </w:r>
      <w:r w:rsidRPr="00167001">
        <w:rPr>
          <w:rFonts w:hint="eastAsia"/>
          <w:lang w:val="en-US"/>
        </w:rPr>
        <w:t xml:space="preserve"> </w:t>
      </w:r>
      <w:r>
        <w:rPr>
          <w:rFonts w:hint="eastAsia"/>
          <w:lang w:val="en-US"/>
        </w:rPr>
        <w:t>for XR-s</w:t>
      </w:r>
      <w:r>
        <w:rPr>
          <w:lang w:val="en-US"/>
        </w:rPr>
        <w:t>pecific capacity improvement</w:t>
      </w:r>
    </w:p>
    <w:p w14:paraId="24C56DB1" w14:textId="7B319244" w:rsidR="00A61CB3" w:rsidRDefault="00167001" w:rsidP="0014003F">
      <w:pPr>
        <w:pStyle w:val="Doc"/>
        <w:rPr>
          <w:lang w:val="en-GB"/>
        </w:rPr>
      </w:pPr>
      <w:r>
        <w:rPr>
          <w:lang w:val="en-GB"/>
        </w:rPr>
        <w:t>Some</w:t>
      </w:r>
      <w:r>
        <w:rPr>
          <w:rFonts w:hint="eastAsia"/>
          <w:lang w:val="en-GB"/>
        </w:rPr>
        <w:t xml:space="preserve"> </w:t>
      </w:r>
      <w:r>
        <w:rPr>
          <w:lang w:val="en-GB"/>
        </w:rPr>
        <w:t xml:space="preserve">XR traffic requires periodic resources. Therefore, it would be beneficial to request SPS/CG activation DCI via SR/BSR. Clearly, this could save the number of DCI until the gNB gets a traffic information from the UE. </w:t>
      </w:r>
    </w:p>
    <w:p w14:paraId="6AA6154B" w14:textId="77777777" w:rsidR="00167001" w:rsidRPr="00167001" w:rsidRDefault="00167001" w:rsidP="0014003F">
      <w:pPr>
        <w:pStyle w:val="Doc"/>
        <w:rPr>
          <w:lang w:val="en-GB"/>
        </w:rPr>
      </w:pPr>
    </w:p>
    <w:p w14:paraId="267FC6DE" w14:textId="77777777" w:rsidR="00F72FF9" w:rsidRDefault="00F72FF9" w:rsidP="00F72FF9">
      <w:pPr>
        <w:pStyle w:val="2"/>
        <w:numPr>
          <w:ilvl w:val="1"/>
          <w:numId w:val="23"/>
        </w:numPr>
      </w:pPr>
      <w:r>
        <w:t>SPS/CG enhancement for XR-specific capacity improvement</w:t>
      </w:r>
    </w:p>
    <w:p w14:paraId="0EFCFFC1" w14:textId="79211CE5" w:rsidR="00F72FF9" w:rsidRDefault="00F72FF9" w:rsidP="00F72FF9">
      <w:pPr>
        <w:pStyle w:val="Doc"/>
      </w:pPr>
      <w:r>
        <w:t xml:space="preserve">For traffic flow having predictable payload size and periodicity, it is straightforward to use DL SPS or UL CG. However, the problem is that the periodicity cannot be guaranteed in symbol or slot level due to other characteristic like jitter. Moreover, GOP structure of video stream would require different transport block size in time. </w:t>
      </w:r>
    </w:p>
    <w:p w14:paraId="1AEC3F12" w14:textId="77777777" w:rsidR="00F72FF9" w:rsidRDefault="00F72FF9" w:rsidP="00F72FF9">
      <w:pPr>
        <w:pStyle w:val="Doc"/>
      </w:pPr>
      <w:r>
        <w:rPr>
          <w:rFonts w:hint="eastAsia"/>
        </w:rPr>
        <w:t xml:space="preserve">In case of jitter, the impact of jitter can be mitigated by sufficient transmission </w:t>
      </w:r>
      <w:r>
        <w:t>occasion (TO)</w:t>
      </w:r>
      <w:r>
        <w:rPr>
          <w:rFonts w:hint="eastAsia"/>
        </w:rPr>
        <w:t>.</w:t>
      </w:r>
      <w:r>
        <w:t xml:space="preserve"> For example, UE can be configured with multiple SPS/CG configuration having the same periodicity and with different starting offset. Then, multiple TO can be configured around expected traffic arrival time, so that UE can choose nearest TO while </w:t>
      </w:r>
      <w:r w:rsidRPr="00D57195">
        <w:t xml:space="preserve">maintaining a certain level of </w:t>
      </w:r>
      <w:r>
        <w:t xml:space="preserve">waiting time even with some drift. However, it would require a </w:t>
      </w:r>
      <w:r w:rsidRPr="00D57195">
        <w:t>tremendous</w:t>
      </w:r>
      <w:r>
        <w:t xml:space="preserve"> number of SPS/CG only for few traffic flows. Thus, it would be necessary to consider new resource allocation method for SPS/CG which supports multiple TO in a periodicity with single configurations.</w:t>
      </w:r>
    </w:p>
    <w:p w14:paraId="743C529A" w14:textId="6E128B15" w:rsidR="00F72FF9" w:rsidRPr="00EF5695" w:rsidRDefault="005E17E6" w:rsidP="00F72FF9">
      <w:pPr>
        <w:pStyle w:val="rProposal"/>
      </w:pPr>
      <w:r>
        <w:t>Proposal 5</w:t>
      </w:r>
      <w:r w:rsidR="00F72FF9">
        <w:t>: At least for jitter handling w</w:t>
      </w:r>
      <w:r>
        <w:t xml:space="preserve">ith SPS/CG configuration, it is </w:t>
      </w:r>
      <w:r w:rsidR="00F72FF9">
        <w:t xml:space="preserve">necessary to allocate multiple TOs in a periodicity with single SPS/CG configurations. </w:t>
      </w:r>
    </w:p>
    <w:p w14:paraId="065E6BF0" w14:textId="4074F8D8" w:rsidR="007C4C25" w:rsidRDefault="007C4C25" w:rsidP="00F72FF9">
      <w:pPr>
        <w:pStyle w:val="Doc"/>
        <w:rPr>
          <w:lang w:val="en-GB"/>
        </w:rPr>
      </w:pPr>
      <w:r>
        <w:rPr>
          <w:rFonts w:hint="eastAsia"/>
          <w:lang w:val="en-GB"/>
        </w:rPr>
        <w:t xml:space="preserve">In order to allocate multiple TOs </w:t>
      </w:r>
      <w:r>
        <w:rPr>
          <w:lang w:val="en-GB"/>
        </w:rPr>
        <w:t>in a periodicity, the single DCI scheduling multiple PDSCH/PUSCH can be re-used. For example, gNB can transmit the DCI scheduling multi-PUSCH as an activation DCI for CG configuration. Then, scheduled multiple PUSCH can be obtained as CG PUSCH in the first period and UE can repeat those PUSCH in every period. This would minimize specification impact and save the time to discuss.</w:t>
      </w:r>
    </w:p>
    <w:p w14:paraId="460FC1A4" w14:textId="586E9326" w:rsidR="007C4C25" w:rsidRPr="00EF5695" w:rsidRDefault="007C4C25" w:rsidP="007C4C25">
      <w:pPr>
        <w:pStyle w:val="rProposal"/>
      </w:pPr>
      <w:r>
        <w:t xml:space="preserve">Proposal </w:t>
      </w:r>
      <w:r w:rsidR="005E17E6">
        <w:t>6</w:t>
      </w:r>
      <w:r>
        <w:t xml:space="preserve">: </w:t>
      </w:r>
      <w:r w:rsidR="00BD026D">
        <w:t>T</w:t>
      </w:r>
      <w:r>
        <w:t xml:space="preserve">he single DCI scheduling multiple PDSCH/PUSCH can be re-used for SPS/CG activation DCI in order to allocate multiple TOs in a periodicity with single SPS/CG configurations. </w:t>
      </w:r>
    </w:p>
    <w:p w14:paraId="4C42C72B" w14:textId="77777777" w:rsidR="00F72FF9" w:rsidRDefault="00F72FF9" w:rsidP="00F72FF9">
      <w:pPr>
        <w:pStyle w:val="Doc"/>
      </w:pPr>
      <w:r>
        <w:t xml:space="preserve">On the other hands, some XR services use multiple data flows. For example, in general AR/VR scenarios, it is required to transfer video/audio data with pose data of AR/VR devices. In this case, a number of SPS/CG configurations can be configured for single XR service. Multiple SPS/CG configurations also can be used for GOP structure of video stream in order to cover different payload size between I-frame and P-frame. For those case, when services are switched, UE may need to activate/deactivate at once even SPS and CG together which are configured for same services. In current specification, multiple configurations can be activated by same amount of DCIs. It means that it would take a time of a number of PDCCH monitoring occasion. For release, </w:t>
      </w:r>
      <w:r>
        <w:lastRenderedPageBreak/>
        <w:t xml:space="preserve">multiple SPS or CG can be jointly released by a single release DCI, however, at least two DCIs are required to release services using both SPS and CG. </w:t>
      </w:r>
    </w:p>
    <w:p w14:paraId="38DFA260" w14:textId="035F31C3" w:rsidR="00F72FF9" w:rsidRDefault="00F72FF9" w:rsidP="00F72FF9">
      <w:pPr>
        <w:pStyle w:val="rProposal"/>
      </w:pPr>
      <w:r>
        <w:rPr>
          <w:rFonts w:hint="eastAsia"/>
        </w:rPr>
        <w:t xml:space="preserve">Proposal </w:t>
      </w:r>
      <w:r w:rsidR="005E17E6">
        <w:t>7</w:t>
      </w:r>
      <w:r>
        <w:rPr>
          <w:rFonts w:hint="eastAsia"/>
        </w:rPr>
        <w:t xml:space="preserve">: </w:t>
      </w:r>
      <w:r>
        <w:t>I</w:t>
      </w:r>
      <w:r>
        <w:rPr>
          <w:rFonts w:hint="eastAsia"/>
        </w:rPr>
        <w:t xml:space="preserve">t can be considered to activate/release </w:t>
      </w:r>
      <w:r>
        <w:t xml:space="preserve">multiple </w:t>
      </w:r>
      <w:r>
        <w:rPr>
          <w:rFonts w:hint="eastAsia"/>
        </w:rPr>
        <w:t xml:space="preserve">SPS/CG </w:t>
      </w:r>
      <w:r>
        <w:t>and/</w:t>
      </w:r>
      <w:r>
        <w:rPr>
          <w:rFonts w:hint="eastAsia"/>
        </w:rPr>
        <w:t>or other semi-static configuration with le</w:t>
      </w:r>
      <w:r>
        <w:t>ast</w:t>
      </w:r>
      <w:r>
        <w:rPr>
          <w:rFonts w:hint="eastAsia"/>
        </w:rPr>
        <w:t xml:space="preserve"> number of DCI</w:t>
      </w:r>
      <w:r>
        <w:t>s</w:t>
      </w:r>
      <w:r>
        <w:rPr>
          <w:rFonts w:hint="eastAsia"/>
        </w:rPr>
        <w:t xml:space="preserve">. </w:t>
      </w:r>
    </w:p>
    <w:p w14:paraId="766509F9" w14:textId="77777777" w:rsidR="00F72FF9" w:rsidRDefault="00F72FF9" w:rsidP="00F72FF9">
      <w:pPr>
        <w:pStyle w:val="Doc"/>
      </w:pPr>
    </w:p>
    <w:p w14:paraId="1D3C9224" w14:textId="77777777" w:rsidR="00F72FF9" w:rsidRDefault="00F72FF9" w:rsidP="00F72FF9">
      <w:pPr>
        <w:pStyle w:val="Doc"/>
      </w:pPr>
      <w:r>
        <w:rPr>
          <w:rFonts w:hint="eastAsia"/>
        </w:rPr>
        <w:t xml:space="preserve">For multiple configurations related to single service, </w:t>
      </w:r>
      <w:r>
        <w:t xml:space="preserve">it would be beneficial to define interaction with semi-static configurations, i.e., CG groups. For example, if two CG are configured for I-frame and P-frame, CG for P-frame may not be used necessarily before CG for I-frame is used. Thus, it can be considered for UE to use two CGs for I-fame and P-frame selectively based on given video traffic pattern rather than allocated TO. Those kind of relationship can be found easily in various XR service, such as UE pose data and video. </w:t>
      </w:r>
    </w:p>
    <w:p w14:paraId="250FEFA6" w14:textId="57A6FB57" w:rsidR="005E17E6" w:rsidRDefault="005E17E6" w:rsidP="00F72FF9">
      <w:pPr>
        <w:pStyle w:val="Doc"/>
      </w:pPr>
      <w:r>
        <w:t>For example, UE is configured with CG and SPS for pose date and video data respectively. UE can transmit CG PUSCH occasionally based on pose data traffic arrival. In this case, SPS can be suspended until CG PUSCH is used for resource utilization. Once CG PUSCH is transmitted, UE would try to decode SPS PDSCH for a while to receive response of pose data. By doing so, unpredicted ping-pong signal</w:t>
      </w:r>
      <w:r w:rsidR="000B556C">
        <w:t>ing can be supported with least</w:t>
      </w:r>
      <w:r>
        <w:t xml:space="preserve"> DCI </w:t>
      </w:r>
      <w:r w:rsidR="000B556C">
        <w:t xml:space="preserve">and </w:t>
      </w:r>
      <w:r>
        <w:t>redundant resource scheduling.</w:t>
      </w:r>
    </w:p>
    <w:p w14:paraId="37BF2C25" w14:textId="77777777" w:rsidR="00F72FF9" w:rsidRDefault="00F72FF9" w:rsidP="00F72FF9">
      <w:pPr>
        <w:pStyle w:val="Doc"/>
      </w:pPr>
      <w:r>
        <w:t xml:space="preserve">Since this approach is basically restricting usage of SPS/CG, it may not seem necessary. However, considering cell capacity, gNB would need to configure same SPS/CG resource for multiple UEs and let the UEs utilize that resource opportunistically. In this case, overall UE capacity can be increased by restricting usage of SPS/CG. </w:t>
      </w:r>
    </w:p>
    <w:p w14:paraId="3C0D62B4" w14:textId="2B537D8F" w:rsidR="00F72FF9" w:rsidRDefault="000B556C" w:rsidP="00F72FF9">
      <w:pPr>
        <w:pStyle w:val="rProposal"/>
      </w:pPr>
      <w:r>
        <w:rPr>
          <w:rFonts w:hint="eastAsia"/>
        </w:rPr>
        <w:t>Proposal 8</w:t>
      </w:r>
      <w:r w:rsidR="00F72FF9">
        <w:rPr>
          <w:rFonts w:hint="eastAsia"/>
        </w:rPr>
        <w:t xml:space="preserve">: </w:t>
      </w:r>
      <w:r w:rsidR="00F72FF9">
        <w:t>I</w:t>
      </w:r>
      <w:r w:rsidR="00F72FF9">
        <w:rPr>
          <w:rFonts w:hint="eastAsia"/>
        </w:rPr>
        <w:t xml:space="preserve">t can be considered to </w:t>
      </w:r>
      <w:r w:rsidR="00F72FF9">
        <w:t xml:space="preserve">define UE behaviour on interaction between SPS/CG configurations, in order to improve overall UE capacity. </w:t>
      </w:r>
    </w:p>
    <w:p w14:paraId="3D04A7DF" w14:textId="77777777" w:rsidR="000B556C" w:rsidRDefault="000B556C" w:rsidP="00F72FF9">
      <w:pPr>
        <w:pStyle w:val="Doc"/>
        <w:rPr>
          <w:lang w:val="en-GB"/>
        </w:rPr>
      </w:pPr>
    </w:p>
    <w:p w14:paraId="5D96FBB9" w14:textId="056E97AB" w:rsidR="00021872" w:rsidRDefault="004A7A90" w:rsidP="00F72FF9">
      <w:pPr>
        <w:pStyle w:val="Doc"/>
        <w:rPr>
          <w:lang w:val="en-GB"/>
        </w:rPr>
      </w:pPr>
      <w:r>
        <w:rPr>
          <w:rFonts w:hint="eastAsia"/>
          <w:lang w:val="en-GB"/>
        </w:rPr>
        <w:t xml:space="preserve">Considering XR traffic </w:t>
      </w:r>
      <w:r>
        <w:rPr>
          <w:lang w:val="en-GB"/>
        </w:rPr>
        <w:t>characteristic</w:t>
      </w:r>
      <w:r>
        <w:rPr>
          <w:rFonts w:hint="eastAsia"/>
          <w:lang w:val="en-GB"/>
        </w:rPr>
        <w:t>,</w:t>
      </w:r>
      <w:r>
        <w:rPr>
          <w:lang w:val="en-GB"/>
        </w:rPr>
        <w:t xml:space="preserve"> it would be necessary to support non-integer periodicity for SPS/CG. It has been proven that non-integer periodicity mitigates misalignment of transmission occasions especially for video frames. </w:t>
      </w:r>
    </w:p>
    <w:p w14:paraId="7EBD3BEE" w14:textId="38907D63" w:rsidR="004A7A90" w:rsidRDefault="004A7A90" w:rsidP="00F72FF9">
      <w:pPr>
        <w:pStyle w:val="Doc"/>
        <w:rPr>
          <w:lang w:val="en-GB"/>
        </w:rPr>
      </w:pPr>
      <w:r>
        <w:rPr>
          <w:lang w:val="en-GB"/>
        </w:rPr>
        <w:t xml:space="preserve">To minimize specification impact, we </w:t>
      </w:r>
      <w:r>
        <w:rPr>
          <w:rFonts w:hint="eastAsia"/>
          <w:lang w:val="en-GB"/>
        </w:rPr>
        <w:t>wou</w:t>
      </w:r>
      <w:r>
        <w:rPr>
          <w:lang w:val="en-GB"/>
        </w:rPr>
        <w:t xml:space="preserve">ld like to propose to have minor change on the equation which determines SPS/CG occasion. We only changed yellow part in the following equations, to have aligned slot boundary even with non-integer periodicity, for Type-1/2 CG and SPS.   </w:t>
      </w:r>
    </w:p>
    <w:p w14:paraId="1A737859" w14:textId="77777777" w:rsidR="004A7A90" w:rsidRPr="004A7A90" w:rsidRDefault="004A7A90" w:rsidP="004A7A90">
      <w:pPr>
        <w:pStyle w:val="Doc"/>
        <w:rPr>
          <w:b/>
          <w:lang w:val="en-GB"/>
        </w:rPr>
      </w:pPr>
      <w:r w:rsidRPr="004A7A90">
        <w:rPr>
          <w:b/>
          <w:lang w:val="en-GB"/>
        </w:rPr>
        <w:t>For Type 1 CG:</w:t>
      </w:r>
    </w:p>
    <w:p w14:paraId="5ADCA5DA" w14:textId="77777777" w:rsidR="004A7A90" w:rsidRPr="004A7A90" w:rsidRDefault="004A7A90" w:rsidP="004A7A90">
      <w:pPr>
        <w:pStyle w:val="Doc"/>
        <w:ind w:firstLine="347"/>
        <w:jc w:val="center"/>
        <w:rPr>
          <w:sz w:val="18"/>
          <w:lang w:val="en-GB"/>
        </w:rPr>
      </w:pPr>
      <w:r w:rsidRPr="004A7A90">
        <w:rPr>
          <w:sz w:val="18"/>
          <w:lang w:val="en-GB"/>
        </w:rPr>
        <w:t>[(SFN × numberOfSlotsPerFrame × numberOfSymbolsPerSlot) + (slot number in the frame × numberOfSymbolsPerSlot) + symbol number in the slot] =</w:t>
      </w:r>
    </w:p>
    <w:p w14:paraId="5DD38CE3" w14:textId="3F4F6760" w:rsidR="004A7A90" w:rsidRPr="004A7A90" w:rsidRDefault="004A7A90" w:rsidP="004A7A90">
      <w:pPr>
        <w:pStyle w:val="Doc"/>
        <w:ind w:firstLine="347"/>
        <w:jc w:val="center"/>
        <w:rPr>
          <w:sz w:val="18"/>
          <w:lang w:val="en-GB"/>
        </w:rPr>
      </w:pPr>
      <w:r w:rsidRPr="004A7A90">
        <w:rPr>
          <w:sz w:val="18"/>
          <w:lang w:val="en-GB"/>
        </w:rPr>
        <w:lastRenderedPageBreak/>
        <w:t xml:space="preserve">(timeReferenceSFN × numberOfSlotsPerFrame × numberOfSymbolsPerSlot + timeDomainOffset × numberOfSymbolsPerSlot + </w:t>
      </w:r>
      <w:r w:rsidRPr="004A7A90">
        <w:rPr>
          <w:sz w:val="18"/>
          <w:highlight w:val="yellow"/>
          <w:lang w:val="en-GB"/>
        </w:rPr>
        <w:t>ceil(N × P/ numberOfSymbolsPerSlot)* numberOfSymbolsPerSlot</w:t>
      </w:r>
      <w:r w:rsidRPr="004A7A90">
        <w:rPr>
          <w:sz w:val="18"/>
          <w:lang w:val="en-GB"/>
        </w:rPr>
        <w:t xml:space="preserve"> + S) modulo (1024 × numberOfSlotsPerFrame × numberOfSymbolsPerSlot).</w:t>
      </w:r>
    </w:p>
    <w:p w14:paraId="17D0C180" w14:textId="77777777" w:rsidR="004A7A90" w:rsidRPr="004A7A90" w:rsidRDefault="004A7A90" w:rsidP="004A7A90">
      <w:pPr>
        <w:pStyle w:val="Doc"/>
        <w:rPr>
          <w:lang w:val="en-GB"/>
        </w:rPr>
      </w:pPr>
    </w:p>
    <w:p w14:paraId="3E9C0798" w14:textId="77777777" w:rsidR="004A7A90" w:rsidRPr="004A7A90" w:rsidRDefault="004A7A90" w:rsidP="004A7A90">
      <w:pPr>
        <w:pStyle w:val="Doc"/>
        <w:rPr>
          <w:b/>
          <w:lang w:val="en-GB"/>
        </w:rPr>
      </w:pPr>
      <w:r w:rsidRPr="004A7A90">
        <w:rPr>
          <w:b/>
          <w:lang w:val="en-GB"/>
        </w:rPr>
        <w:t>For type 2 CG</w:t>
      </w:r>
    </w:p>
    <w:p w14:paraId="02DC1FA0" w14:textId="77777777" w:rsidR="004A7A90" w:rsidRPr="004A7A90" w:rsidRDefault="004A7A90" w:rsidP="004A7A90">
      <w:pPr>
        <w:pStyle w:val="Doc"/>
        <w:ind w:firstLine="347"/>
        <w:jc w:val="center"/>
        <w:rPr>
          <w:sz w:val="18"/>
          <w:lang w:val="en-GB"/>
        </w:rPr>
      </w:pPr>
      <w:r w:rsidRPr="004A7A90">
        <w:rPr>
          <w:sz w:val="18"/>
          <w:lang w:val="en-GB"/>
        </w:rPr>
        <w:t>[(SFN × numberOfSlotsPerFrame × numberOfSymbolsPerSlot) + (slot number in the frame × numberOfSymbolsPerSlot) + symbol number in the slot] =</w:t>
      </w:r>
    </w:p>
    <w:p w14:paraId="78CF526E" w14:textId="2A5B200B" w:rsidR="004A7A90" w:rsidRPr="004A7A90" w:rsidRDefault="004A7A90" w:rsidP="004A7A90">
      <w:pPr>
        <w:pStyle w:val="Doc"/>
        <w:ind w:firstLine="347"/>
        <w:jc w:val="center"/>
        <w:rPr>
          <w:sz w:val="18"/>
          <w:lang w:val="en-GB"/>
        </w:rPr>
      </w:pPr>
      <w:r w:rsidRPr="004A7A90">
        <w:rPr>
          <w:sz w:val="18"/>
          <w:lang w:val="en-GB"/>
        </w:rPr>
        <w:t xml:space="preserve">[(SFNstart time × numberOfSlotsPerFrame × numberOfSymbolsPerSlot + slotstart time × numberOfSymbolsPerSlot + symbolstart time) + </w:t>
      </w:r>
      <w:r w:rsidRPr="004A7A90">
        <w:rPr>
          <w:sz w:val="18"/>
          <w:highlight w:val="yellow"/>
          <w:lang w:val="en-GB"/>
        </w:rPr>
        <w:t>ceil(N × P/ numberOfSymbolsPerSlot)* numberOfSymbolsPerSlot</w:t>
      </w:r>
      <w:r w:rsidRPr="004A7A90">
        <w:rPr>
          <w:sz w:val="18"/>
          <w:lang w:val="en-GB"/>
        </w:rPr>
        <w:t>] modulo (1024 × numberOfSlotsPerFrame × numberOfSymbolsPerSlot).</w:t>
      </w:r>
    </w:p>
    <w:p w14:paraId="08620F49" w14:textId="77777777" w:rsidR="004A7A90" w:rsidRPr="004A7A90" w:rsidRDefault="004A7A90" w:rsidP="004A7A90">
      <w:pPr>
        <w:pStyle w:val="Doc"/>
        <w:rPr>
          <w:b/>
          <w:lang w:val="en-GB"/>
        </w:rPr>
      </w:pPr>
      <w:r w:rsidRPr="004A7A90">
        <w:rPr>
          <w:b/>
          <w:lang w:val="en-GB"/>
        </w:rPr>
        <w:t>For SPS</w:t>
      </w:r>
    </w:p>
    <w:p w14:paraId="437255DC" w14:textId="34F11E57" w:rsidR="00F72FF9" w:rsidRPr="004A7A90" w:rsidRDefault="004A7A90" w:rsidP="004A7A90">
      <w:pPr>
        <w:pStyle w:val="Doc"/>
        <w:ind w:firstLine="347"/>
        <w:jc w:val="center"/>
        <w:rPr>
          <w:sz w:val="18"/>
          <w:lang w:val="en-GB"/>
        </w:rPr>
      </w:pPr>
      <w:r w:rsidRPr="004A7A90">
        <w:rPr>
          <w:sz w:val="18"/>
          <w:lang w:val="en-GB"/>
        </w:rPr>
        <w:t xml:space="preserve">(numberOfSlotsPerFrame × SFN + slot number in the frame) = [(numberOfSlotsPerFrame × SFNstart time + slotstart time) + </w:t>
      </w:r>
      <w:r w:rsidRPr="004A7A90">
        <w:rPr>
          <w:sz w:val="18"/>
          <w:highlight w:val="yellow"/>
          <w:lang w:val="en-GB"/>
        </w:rPr>
        <w:t>ceil(N × periodicity)</w:t>
      </w:r>
      <w:r w:rsidRPr="004A7A90">
        <w:rPr>
          <w:sz w:val="18"/>
          <w:lang w:val="en-GB"/>
        </w:rPr>
        <w:t xml:space="preserve"> × numberOfSlotsPerFrame / 10] modulo (1024 × numberOfSlotsPerFrame)</w:t>
      </w:r>
    </w:p>
    <w:p w14:paraId="49C28DCE" w14:textId="77777777" w:rsidR="004A7A90" w:rsidRDefault="004A7A90" w:rsidP="00F72FF9">
      <w:pPr>
        <w:pStyle w:val="Doc"/>
      </w:pPr>
    </w:p>
    <w:p w14:paraId="66BEE1B9" w14:textId="716026AF" w:rsidR="004A7A90" w:rsidRDefault="009347E5" w:rsidP="00F72FF9">
      <w:pPr>
        <w:pStyle w:val="Doc"/>
      </w:pPr>
      <w:r>
        <w:t>In the case of 15kHz subcarrier spacing, w</w:t>
      </w:r>
      <w:r w:rsidR="004A7A90">
        <w:t xml:space="preserve">ith current specification without those changes, SPS with 16ms periodicity can serve the traffic having 16.67ms </w:t>
      </w:r>
      <w:r w:rsidR="00DF3855">
        <w:t xml:space="preserve">with 7.7ms (=108 symbols) of average </w:t>
      </w:r>
      <w:r w:rsidR="00B71367">
        <w:t>waiting time from traffic arrival to transmission occasion</w:t>
      </w:r>
      <w:r w:rsidR="00DF3855">
        <w:t xml:space="preserve">. </w:t>
      </w:r>
      <w:r w:rsidR="00F15EFA">
        <w:t>On the other hand</w:t>
      </w:r>
      <w:r w:rsidR="00DF3855">
        <w:t>, with modified equation, SPS with 16.67ms periodicity can serve the traffic having same</w:t>
      </w:r>
      <w:r>
        <w:t xml:space="preserve"> periodicity only with 0.33ms (=4</w:t>
      </w:r>
      <w:r w:rsidR="00DF3855">
        <w:t>.65 symbols) of average delay</w:t>
      </w:r>
      <w:r w:rsidR="000B556C">
        <w:t xml:space="preserve">. In our view, the performance benefit are clear comparing expected specification impact. </w:t>
      </w:r>
    </w:p>
    <w:p w14:paraId="1A270A32" w14:textId="77777777" w:rsidR="004A7A90" w:rsidRDefault="004A7A90" w:rsidP="00F72FF9">
      <w:pPr>
        <w:pStyle w:val="Doc"/>
      </w:pPr>
    </w:p>
    <w:p w14:paraId="1E1BD83F" w14:textId="504B03A2" w:rsidR="004A7A90" w:rsidRDefault="005D75EB" w:rsidP="004A7A90">
      <w:pPr>
        <w:pStyle w:val="Doc"/>
        <w:jc w:val="center"/>
      </w:pPr>
      <w:r>
        <w:rPr>
          <w:noProof/>
        </w:rPr>
        <w:drawing>
          <wp:inline distT="0" distB="0" distL="0" distR="0" wp14:anchorId="488C8209" wp14:editId="6F815948">
            <wp:extent cx="3705225" cy="2390775"/>
            <wp:effectExtent l="0" t="0" r="9525"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5225" cy="2390775"/>
                    </a:xfrm>
                    <a:prstGeom prst="rect">
                      <a:avLst/>
                    </a:prstGeom>
                    <a:noFill/>
                  </pic:spPr>
                </pic:pic>
              </a:graphicData>
            </a:graphic>
          </wp:inline>
        </w:drawing>
      </w:r>
    </w:p>
    <w:p w14:paraId="68D74E04" w14:textId="1A6C6508" w:rsidR="005D75EB" w:rsidRDefault="005D75EB" w:rsidP="004A7A90">
      <w:pPr>
        <w:pStyle w:val="Doc"/>
        <w:jc w:val="center"/>
      </w:pPr>
      <w:r>
        <w:rPr>
          <w:rFonts w:hint="eastAsia"/>
        </w:rPr>
        <w:t>Fig. 1 Average delay for periodicities of 16</w:t>
      </w:r>
      <w:r>
        <w:t>ms</w:t>
      </w:r>
      <w:r>
        <w:rPr>
          <w:rFonts w:hint="eastAsia"/>
        </w:rPr>
        <w:t>, 1/60</w:t>
      </w:r>
      <w:r>
        <w:t>s</w:t>
      </w:r>
      <w:r>
        <w:rPr>
          <w:rFonts w:hint="eastAsia"/>
        </w:rPr>
        <w:t>(</w:t>
      </w:r>
      <w:r>
        <w:rPr>
          <w:rFonts w:ascii="맑은 고딕" w:hAnsi="맑은 고딕" w:hint="eastAsia"/>
        </w:rPr>
        <w:t>≒</w:t>
      </w:r>
      <w:r>
        <w:t>16.67ms) and 17ms</w:t>
      </w:r>
    </w:p>
    <w:p w14:paraId="2D43B684" w14:textId="34A193FB" w:rsidR="004A7A90" w:rsidRDefault="00DF3855" w:rsidP="00DF3855">
      <w:pPr>
        <w:pStyle w:val="rProposal"/>
      </w:pPr>
      <w:r>
        <w:rPr>
          <w:rFonts w:hint="eastAsia"/>
        </w:rPr>
        <w:lastRenderedPageBreak/>
        <w:t>Proposal</w:t>
      </w:r>
      <w:r w:rsidR="00A4161E">
        <w:t xml:space="preserve"> 9</w:t>
      </w:r>
      <w:r>
        <w:rPr>
          <w:rFonts w:hint="eastAsia"/>
        </w:rPr>
        <w:t xml:space="preserve"> :</w:t>
      </w:r>
      <w:r>
        <w:t xml:space="preserve"> Support non-integer periodicities by modified equation determining SPS/CG occasions. </w:t>
      </w:r>
    </w:p>
    <w:p w14:paraId="59F83162" w14:textId="663FE7C7" w:rsidR="00DF3855" w:rsidRPr="00DF3855" w:rsidRDefault="00DF3855" w:rsidP="00DF3855">
      <w:pPr>
        <w:pStyle w:val="rProposal"/>
        <w:numPr>
          <w:ilvl w:val="0"/>
          <w:numId w:val="24"/>
        </w:numPr>
        <w:ind w:firstLineChars="0"/>
      </w:pPr>
      <w:r>
        <w:rPr>
          <w:rFonts w:hint="eastAsia"/>
        </w:rPr>
        <w:t>FFS:</w:t>
      </w:r>
      <w:r>
        <w:t xml:space="preserve"> </w:t>
      </w:r>
      <w:r w:rsidR="00ED42CC">
        <w:t>How to a</w:t>
      </w:r>
      <w:r w:rsidR="000B556C">
        <w:t xml:space="preserve">dd non-integer periodicities to current periodicity parameter. </w:t>
      </w:r>
    </w:p>
    <w:p w14:paraId="0F363310" w14:textId="77777777" w:rsidR="00DF3855" w:rsidRDefault="00DF3855" w:rsidP="00DF3855">
      <w:pPr>
        <w:rPr>
          <w:rFonts w:eastAsiaTheme="minorEastAsia"/>
          <w:lang w:eastAsia="ko-KR"/>
        </w:rPr>
      </w:pPr>
    </w:p>
    <w:p w14:paraId="2D51A3A9" w14:textId="77777777" w:rsidR="00DF3855" w:rsidRPr="00ED42CC" w:rsidRDefault="00DF3855" w:rsidP="00DF3855">
      <w:pPr>
        <w:rPr>
          <w:rFonts w:eastAsiaTheme="minorEastAsia"/>
          <w:lang w:eastAsia="ko-KR"/>
        </w:rPr>
      </w:pPr>
    </w:p>
    <w:p w14:paraId="04558253" w14:textId="44748ED0" w:rsidR="008F605A" w:rsidRDefault="00D02A92" w:rsidP="008F605A">
      <w:pPr>
        <w:pStyle w:val="2"/>
      </w:pPr>
      <w:r>
        <w:t>UL multiplexing/prioritization</w:t>
      </w:r>
      <w:r w:rsidR="008F605A" w:rsidRPr="008F605A">
        <w:t xml:space="preserve"> for XR-specific </w:t>
      </w:r>
      <w:r>
        <w:t>transmission.</w:t>
      </w:r>
    </w:p>
    <w:p w14:paraId="16097837" w14:textId="6A8B0969" w:rsidR="008F605A" w:rsidRDefault="00A61CB3" w:rsidP="002A768C">
      <w:pPr>
        <w:pStyle w:val="Doc"/>
      </w:pPr>
      <w:r>
        <w:t xml:space="preserve">In Rel-16/17 discussion, UL multiplexing and prioritization based on PHY priority has been specified. Based on PHY priorities, UL transmission can be dropped or prioritized. </w:t>
      </w:r>
      <w:r w:rsidR="00BE4D01">
        <w:t>UL multiplexing and prioritization is existing approach to prepare radio resource for prioritizing service, by dropping allocated resource for low priority transmission. It would be desirable to prioritize XR traffic having stringent requirements like short PDB or higher reliability not only over eMBB but also over other XR traffics.</w:t>
      </w:r>
    </w:p>
    <w:p w14:paraId="57341226" w14:textId="01B38320" w:rsidR="002A768C" w:rsidRDefault="00BE4D01" w:rsidP="002A768C">
      <w:pPr>
        <w:pStyle w:val="Doc"/>
      </w:pPr>
      <w:r>
        <w:t xml:space="preserve">Considering XR services and multiple flows of XR characteristics, priority handling for XR traffic would need to be improved. </w:t>
      </w:r>
      <w:r w:rsidR="00BB0D83">
        <w:t>Until Rel-17, it was assume</w:t>
      </w:r>
      <w:r w:rsidR="00E14A0C">
        <w:t>d</w:t>
      </w:r>
      <w:r w:rsidR="00BB0D83">
        <w:t xml:space="preserve"> that eMBB service uses low priority (LP) and URLLC or important traffics uses high priority (HP). However, a single XR service could have various traffic flows, and all those would need to be treated as higher priority than eMBB, but it may be not necessary to treat as high priority as URLLC. Moreover, it would be meaningful to prioritize one traffic flow among multiple XR traffic flow</w:t>
      </w:r>
      <w:r w:rsidR="00E14A0C">
        <w:t>s</w:t>
      </w:r>
      <w:r w:rsidR="00BB0D83">
        <w:t xml:space="preserve">. Therefore, 2-level of priority may be not sufficient to handle all of those cases. </w:t>
      </w:r>
    </w:p>
    <w:p w14:paraId="74D7B1ED" w14:textId="23883B60" w:rsidR="000B556C" w:rsidRDefault="000B556C" w:rsidP="002A768C">
      <w:pPr>
        <w:pStyle w:val="Doc"/>
      </w:pPr>
      <w:r>
        <w:t xml:space="preserve">For example, If we try to prioritize or protect a transmission of I-frame from a transmission of P-frame, </w:t>
      </w:r>
      <w:r w:rsidR="003420EE">
        <w:t xml:space="preserve">it should be necessary to distinguish I-frame from P-frame in terms of scheduling. If there is an URLLC scheduling as well, 3-level of priority may be necessary to handle the case. </w:t>
      </w:r>
    </w:p>
    <w:p w14:paraId="70A4118F" w14:textId="5B4233D0" w:rsidR="00BB0D83" w:rsidRPr="00A61CB3" w:rsidRDefault="00BB0D83" w:rsidP="002A768C">
      <w:pPr>
        <w:pStyle w:val="Doc"/>
      </w:pPr>
      <w:r>
        <w:t xml:space="preserve">If dynamic scheduling is used, gNB may be able to choose priority of each transmission carefully for each slot. However, as mentioned above, most of XR service would use SPS/CG for supporting periodic traffic flow, </w:t>
      </w:r>
      <w:r w:rsidR="00BE4D01">
        <w:t>where SPS/CG cannot</w:t>
      </w:r>
      <w:r>
        <w:t xml:space="preserve"> change </w:t>
      </w:r>
      <w:r w:rsidR="00BE4D01">
        <w:t xml:space="preserve">its </w:t>
      </w:r>
      <w:r>
        <w:t xml:space="preserve">priority </w:t>
      </w:r>
      <w:r w:rsidR="00BE4D01">
        <w:t xml:space="preserve">after the configuration. Therefore, XR-specific priority handling would be required so that UE can prioritize XR service over eMBB while prioritizing URLLC over XR. </w:t>
      </w:r>
    </w:p>
    <w:p w14:paraId="135655E0" w14:textId="4311821F" w:rsidR="00764294" w:rsidRDefault="00BE4D01" w:rsidP="00BE4D01">
      <w:pPr>
        <w:pStyle w:val="rProposal"/>
      </w:pPr>
      <w:r>
        <w:rPr>
          <w:rFonts w:hint="eastAsia"/>
        </w:rPr>
        <w:t xml:space="preserve">Proposal </w:t>
      </w:r>
      <w:r w:rsidR="00A4161E">
        <w:t>10</w:t>
      </w:r>
      <w:r>
        <w:rPr>
          <w:rFonts w:hint="eastAsia"/>
        </w:rPr>
        <w:t>:</w:t>
      </w:r>
      <w:r>
        <w:t xml:space="preserve"> </w:t>
      </w:r>
      <w:r>
        <w:rPr>
          <w:rFonts w:hint="eastAsia"/>
          <w:lang w:val="en-US"/>
        </w:rPr>
        <w:t>For XR-s</w:t>
      </w:r>
      <w:r>
        <w:rPr>
          <w:lang w:val="en-US"/>
        </w:rPr>
        <w:t>pecific capacity improvement, it can be considered to study</w:t>
      </w:r>
      <w:r w:rsidRPr="00BE4D01">
        <w:t xml:space="preserve"> </w:t>
      </w:r>
      <w:r>
        <w:t xml:space="preserve">XR-specific priority handling. </w:t>
      </w:r>
    </w:p>
    <w:p w14:paraId="6BA341D4" w14:textId="77777777" w:rsidR="003420EE" w:rsidRPr="00DF3855" w:rsidRDefault="003420EE" w:rsidP="003420EE">
      <w:pPr>
        <w:rPr>
          <w:rFonts w:eastAsiaTheme="minorEastAsia"/>
          <w:lang w:eastAsia="ko-KR"/>
        </w:rPr>
      </w:pPr>
    </w:p>
    <w:p w14:paraId="71214166" w14:textId="6405B5FE" w:rsidR="003420EE" w:rsidRDefault="003420EE" w:rsidP="003420EE">
      <w:pPr>
        <w:pStyle w:val="2"/>
      </w:pPr>
      <w:r>
        <w:t xml:space="preserve">Link adaptation </w:t>
      </w:r>
      <w:r w:rsidRPr="003420EE">
        <w:t>to improve XR capacity</w:t>
      </w:r>
    </w:p>
    <w:p w14:paraId="2E34BF3D" w14:textId="232B6608" w:rsidR="003420EE" w:rsidRDefault="005A0871" w:rsidP="005A0871">
      <w:pPr>
        <w:pStyle w:val="Doc"/>
      </w:pPr>
      <w:r>
        <w:rPr>
          <w:rFonts w:hint="eastAsia"/>
        </w:rPr>
        <w:t>I</w:t>
      </w:r>
      <w:r>
        <w:t xml:space="preserve">n the last meeting, link adaptation techniques such as delta-MCS, Soft HARQ-ACK feedback and CSI report enhancement are proposed and discussed. In general, enhanced link adaptation could achieve faster and correct channel estimation, so that overall system throughput could be increased. However, in the perspective of XR, we think it is difficult to say that link adaptation could be XR-specific. </w:t>
      </w:r>
    </w:p>
    <w:p w14:paraId="6E89BDBB" w14:textId="3B869863" w:rsidR="003420EE" w:rsidRDefault="005D75EB" w:rsidP="005A0871">
      <w:pPr>
        <w:pStyle w:val="Doc"/>
        <w:rPr>
          <w:rFonts w:eastAsiaTheme="minorEastAsia"/>
        </w:rPr>
      </w:pPr>
      <w:r>
        <w:rPr>
          <w:rFonts w:eastAsiaTheme="minorEastAsia"/>
        </w:rPr>
        <w:t xml:space="preserve">To be </w:t>
      </w:r>
      <w:r>
        <w:t xml:space="preserve">XR-specific, in our view, the techniques has beneficial point for XR scenarios or XR traffic characteristic. </w:t>
      </w:r>
      <w:r>
        <w:rPr>
          <w:rFonts w:eastAsiaTheme="minorEastAsia"/>
        </w:rPr>
        <w:t xml:space="preserve">Meanwhile, </w:t>
      </w:r>
      <w:r w:rsidR="003420EE" w:rsidRPr="003420EE">
        <w:rPr>
          <w:rFonts w:eastAsiaTheme="minorEastAsia"/>
        </w:rPr>
        <w:t>XR scenario generally assumes</w:t>
      </w:r>
      <w:r w:rsidR="005A0871">
        <w:rPr>
          <w:rFonts w:eastAsiaTheme="minorEastAsia"/>
        </w:rPr>
        <w:t xml:space="preserve"> periodic traffic for a long time. Considering that, </w:t>
      </w:r>
      <w:r w:rsidR="005A0871">
        <w:rPr>
          <w:rFonts w:eastAsiaTheme="minorEastAsia"/>
        </w:rPr>
        <w:lastRenderedPageBreak/>
        <w:t>the benefit of faster channel estimation would be limited to only first few transmissions</w:t>
      </w:r>
      <w:r>
        <w:rPr>
          <w:rFonts w:eastAsiaTheme="minorEastAsia"/>
        </w:rPr>
        <w:t xml:space="preserve"> for XR</w:t>
      </w:r>
      <w:r w:rsidR="005A0871">
        <w:rPr>
          <w:rFonts w:eastAsiaTheme="minorEastAsia"/>
        </w:rPr>
        <w:t xml:space="preserve">. Also, </w:t>
      </w:r>
      <w:r>
        <w:rPr>
          <w:rFonts w:eastAsiaTheme="minorEastAsia"/>
        </w:rPr>
        <w:t>i</w:t>
      </w:r>
      <w:r w:rsidR="003420EE" w:rsidRPr="003420EE">
        <w:rPr>
          <w:rFonts w:eastAsiaTheme="minorEastAsia"/>
        </w:rPr>
        <w:t>f it is discussed in terms of capacity, the trade-off between existing CSI and proposed</w:t>
      </w:r>
      <w:r w:rsidR="005A0871">
        <w:rPr>
          <w:rFonts w:eastAsiaTheme="minorEastAsia"/>
        </w:rPr>
        <w:t xml:space="preserve"> </w:t>
      </w:r>
      <w:r w:rsidR="003420EE" w:rsidRPr="003420EE">
        <w:rPr>
          <w:rFonts w:eastAsiaTheme="minorEastAsia"/>
        </w:rPr>
        <w:t>enhancement in terms of resource overhead should be identified first, as it affects UL capacity performance.</w:t>
      </w:r>
    </w:p>
    <w:p w14:paraId="6DCF3E51" w14:textId="06F8386C" w:rsidR="003420EE" w:rsidRDefault="005D75EB" w:rsidP="005D75EB">
      <w:pPr>
        <w:pStyle w:val="rProposal"/>
      </w:pPr>
      <w:r>
        <w:rPr>
          <w:rFonts w:hint="eastAsia"/>
        </w:rPr>
        <w:t xml:space="preserve">Proposal </w:t>
      </w:r>
      <w:r w:rsidR="00A4161E">
        <w:t>11</w:t>
      </w:r>
      <w:r>
        <w:rPr>
          <w:rFonts w:hint="eastAsia"/>
        </w:rPr>
        <w:t xml:space="preserve">: </w:t>
      </w:r>
      <w:r>
        <w:t xml:space="preserve">Study on link adaptation techniques could be de-prioritized. </w:t>
      </w:r>
    </w:p>
    <w:p w14:paraId="105C4E6B" w14:textId="77777777" w:rsidR="005D75EB" w:rsidRPr="005D75EB" w:rsidRDefault="005D75EB" w:rsidP="005D75EB">
      <w:pPr>
        <w:rPr>
          <w:rFonts w:eastAsiaTheme="minorEastAsia"/>
          <w:lang w:eastAsia="ko-KR"/>
        </w:rPr>
      </w:pPr>
    </w:p>
    <w:p w14:paraId="57550BF3" w14:textId="3C069636" w:rsidR="00B04CE0" w:rsidRDefault="00B04CE0" w:rsidP="00B04CE0">
      <w:pPr>
        <w:pStyle w:val="TdocHeading1"/>
      </w:pPr>
      <w:r>
        <w:t>Conclusion</w:t>
      </w:r>
    </w:p>
    <w:p w14:paraId="22EAA901" w14:textId="1292CCA8" w:rsidR="00FA08CD" w:rsidRDefault="00FA08CD" w:rsidP="00B04CE0">
      <w:pPr>
        <w:pStyle w:val="Doc"/>
      </w:pPr>
      <w:r w:rsidRPr="00FA08CD">
        <w:rPr>
          <w:rFonts w:hint="eastAsia"/>
        </w:rPr>
        <w:t xml:space="preserve">In this contribution, </w:t>
      </w:r>
      <w:r w:rsidR="00FF4D2E" w:rsidRPr="00FF4D2E">
        <w:t xml:space="preserve">we </w:t>
      </w:r>
      <w:r w:rsidR="00FF4D2E">
        <w:t>shared</w:t>
      </w:r>
      <w:r w:rsidR="00FF4D2E" w:rsidRPr="00FF4D2E">
        <w:t xml:space="preserve"> our views on the potential enhancements of </w:t>
      </w:r>
      <w:r w:rsidR="00B04CE0" w:rsidRPr="00B04CE0">
        <w:t xml:space="preserve">capacity enhancement techniques </w:t>
      </w:r>
      <w:r w:rsidR="00FF4D2E" w:rsidRPr="00FF4D2E">
        <w:t>for XR</w:t>
      </w:r>
      <w:r w:rsidRPr="00FA08CD">
        <w:t>.</w:t>
      </w:r>
      <w:r w:rsidR="006054CD">
        <w:t xml:space="preserve"> Following are proposed for </w:t>
      </w:r>
      <w:r w:rsidR="006054CD" w:rsidRPr="006054CD">
        <w:t>XR-specific capacity improvement</w:t>
      </w:r>
      <w:r w:rsidR="006054CD">
        <w:t>:</w:t>
      </w:r>
    </w:p>
    <w:p w14:paraId="1C1D35BE" w14:textId="77777777" w:rsidR="002E5FB7" w:rsidRDefault="002E5FB7" w:rsidP="002E5FB7">
      <w:pPr>
        <w:pStyle w:val="rProposal"/>
      </w:pPr>
      <w:r>
        <w:rPr>
          <w:rFonts w:hint="eastAsia"/>
        </w:rPr>
        <w:t>Proposal</w:t>
      </w:r>
      <w:r>
        <w:t xml:space="preserve"> 1</w:t>
      </w:r>
      <w:r>
        <w:rPr>
          <w:rFonts w:hint="eastAsia"/>
        </w:rPr>
        <w:t xml:space="preserve">: </w:t>
      </w:r>
      <w:r w:rsidRPr="00962A84">
        <w:t xml:space="preserve">It is </w:t>
      </w:r>
      <w:r>
        <w:t xml:space="preserve">beneficial </w:t>
      </w:r>
      <w:r w:rsidRPr="00962A84">
        <w:t>to re-use</w:t>
      </w:r>
      <w:r>
        <w:t xml:space="preserve"> the </w:t>
      </w:r>
      <w:r w:rsidRPr="00962A84">
        <w:t>UE capability of single DCI scheduling multi-PDSCHs/PUSCHs for XR capacity improvement</w:t>
      </w:r>
      <w:r>
        <w:t>.</w:t>
      </w:r>
    </w:p>
    <w:p w14:paraId="27A381CE" w14:textId="77777777" w:rsidR="002E5FB7" w:rsidRDefault="002E5FB7" w:rsidP="002E5FB7">
      <w:pPr>
        <w:pStyle w:val="rProposal"/>
        <w:numPr>
          <w:ilvl w:val="0"/>
          <w:numId w:val="24"/>
        </w:numPr>
        <w:ind w:firstLineChars="0"/>
      </w:pPr>
      <w:r>
        <w:t xml:space="preserve">It is necessary to wait </w:t>
      </w:r>
      <w:r w:rsidRPr="00962A84">
        <w:t>the outcome of Rel-17 B52.6G UE feature discussion</w:t>
      </w:r>
      <w:r>
        <w:t xml:space="preserve">. </w:t>
      </w:r>
    </w:p>
    <w:p w14:paraId="46B79620" w14:textId="77777777" w:rsidR="002E5FB7" w:rsidRDefault="002E5FB7" w:rsidP="002E5FB7">
      <w:pPr>
        <w:pStyle w:val="rProposal"/>
      </w:pPr>
      <w:r>
        <w:rPr>
          <w:rFonts w:hint="eastAsia"/>
        </w:rPr>
        <w:t>Proposal</w:t>
      </w:r>
      <w:r>
        <w:t xml:space="preserve"> 2</w:t>
      </w:r>
      <w:r>
        <w:rPr>
          <w:rFonts w:hint="eastAsia"/>
        </w:rPr>
        <w:t xml:space="preserve">: </w:t>
      </w:r>
      <w:r w:rsidRPr="00962A84">
        <w:t xml:space="preserve">It is </w:t>
      </w:r>
      <w:r>
        <w:t xml:space="preserve">necessary </w:t>
      </w:r>
      <w:r w:rsidRPr="00962A84">
        <w:t xml:space="preserve">to </w:t>
      </w:r>
      <w:r>
        <w:t>investigate enhanced HARQ-ACK timing for</w:t>
      </w:r>
      <w:r w:rsidRPr="00962A84">
        <w:t xml:space="preserve"> single DCI scheduling multi-PDSCHs/PUSCHs</w:t>
      </w:r>
      <w:r>
        <w:t>.</w:t>
      </w:r>
    </w:p>
    <w:p w14:paraId="0C071EBF" w14:textId="77777777" w:rsidR="002E5FB7" w:rsidRPr="00EF5695" w:rsidRDefault="002E5FB7" w:rsidP="002E5FB7">
      <w:pPr>
        <w:pStyle w:val="rProposal"/>
      </w:pPr>
      <w:r>
        <w:t xml:space="preserve">Proposal 3: </w:t>
      </w:r>
      <w:r>
        <w:rPr>
          <w:rFonts w:hint="eastAsia"/>
          <w:lang w:val="en-US"/>
        </w:rPr>
        <w:t>For XR-s</w:t>
      </w:r>
      <w:r>
        <w:rPr>
          <w:lang w:val="en-US"/>
        </w:rPr>
        <w:t>pecific capacity improvement, enhancement on SR/BSR can be considered.</w:t>
      </w:r>
    </w:p>
    <w:p w14:paraId="0833460E" w14:textId="77777777" w:rsidR="002E5FB7" w:rsidRPr="00EF5695" w:rsidRDefault="002E5FB7" w:rsidP="002E5FB7">
      <w:pPr>
        <w:pStyle w:val="rProposal"/>
      </w:pPr>
      <w:r>
        <w:t>Proposal 4: If scheduling techniques for</w:t>
      </w:r>
      <w:r w:rsidRPr="00167001">
        <w:t xml:space="preserve"> XR-awareness information </w:t>
      </w:r>
      <w:r>
        <w:t>is supported,</w:t>
      </w:r>
      <w:r>
        <w:rPr>
          <w:lang w:val="en-US"/>
        </w:rPr>
        <w:t xml:space="preserve"> PDB information can be reported via SR/BSR</w:t>
      </w:r>
      <w:r w:rsidRPr="00167001">
        <w:rPr>
          <w:rFonts w:hint="eastAsia"/>
          <w:lang w:val="en-US"/>
        </w:rPr>
        <w:t xml:space="preserve"> </w:t>
      </w:r>
      <w:r>
        <w:rPr>
          <w:rFonts w:hint="eastAsia"/>
          <w:lang w:val="en-US"/>
        </w:rPr>
        <w:t>for XR-s</w:t>
      </w:r>
      <w:r>
        <w:rPr>
          <w:lang w:val="en-US"/>
        </w:rPr>
        <w:t>pecific capacity improvement</w:t>
      </w:r>
    </w:p>
    <w:p w14:paraId="32133132" w14:textId="77777777" w:rsidR="002E5FB7" w:rsidRPr="00EF5695" w:rsidRDefault="002E5FB7" w:rsidP="002E5FB7">
      <w:pPr>
        <w:pStyle w:val="rProposal"/>
      </w:pPr>
      <w:r>
        <w:t xml:space="preserve">Proposal 5: At least for jitter handling with SPS/CG configuration, it is necessary to allocate multiple TOs in a periodicity with single SPS/CG configurations. </w:t>
      </w:r>
    </w:p>
    <w:p w14:paraId="25532827" w14:textId="77777777" w:rsidR="002E5FB7" w:rsidRPr="00EF5695" w:rsidRDefault="002E5FB7" w:rsidP="002E5FB7">
      <w:pPr>
        <w:pStyle w:val="rProposal"/>
      </w:pPr>
      <w:r>
        <w:t xml:space="preserve">Proposal 6: The single DCI scheduling multiple PDSCH/PUSCH can be re-used for SPS/CG activation DCI in order to allocate multiple TOs in a periodicity with single SPS/CG configurations. </w:t>
      </w:r>
    </w:p>
    <w:p w14:paraId="0238239C" w14:textId="7D06DBD7" w:rsidR="002E5FB7" w:rsidRDefault="002E5FB7" w:rsidP="002E5FB7">
      <w:pPr>
        <w:pStyle w:val="rProposal"/>
      </w:pPr>
      <w:r>
        <w:rPr>
          <w:rFonts w:hint="eastAsia"/>
        </w:rPr>
        <w:t>Proposal</w:t>
      </w:r>
      <w:r>
        <w:t xml:space="preserve"> </w:t>
      </w:r>
      <w:r>
        <w:t>7</w:t>
      </w:r>
      <w:r>
        <w:rPr>
          <w:rFonts w:hint="eastAsia"/>
        </w:rPr>
        <w:t xml:space="preserve">: </w:t>
      </w:r>
      <w:r>
        <w:t>I</w:t>
      </w:r>
      <w:r>
        <w:rPr>
          <w:rFonts w:hint="eastAsia"/>
        </w:rPr>
        <w:t xml:space="preserve">t can be considered to activate/release </w:t>
      </w:r>
      <w:r>
        <w:t xml:space="preserve">multiple </w:t>
      </w:r>
      <w:r>
        <w:rPr>
          <w:rFonts w:hint="eastAsia"/>
        </w:rPr>
        <w:t xml:space="preserve">SPS/CG </w:t>
      </w:r>
      <w:r>
        <w:t>and/</w:t>
      </w:r>
      <w:r>
        <w:rPr>
          <w:rFonts w:hint="eastAsia"/>
        </w:rPr>
        <w:t>or other semi-static configuration with le</w:t>
      </w:r>
      <w:r>
        <w:t>ast</w:t>
      </w:r>
      <w:r>
        <w:rPr>
          <w:rFonts w:hint="eastAsia"/>
        </w:rPr>
        <w:t xml:space="preserve"> number of DCI</w:t>
      </w:r>
      <w:r>
        <w:t>s</w:t>
      </w:r>
      <w:r>
        <w:rPr>
          <w:rFonts w:hint="eastAsia"/>
        </w:rPr>
        <w:t xml:space="preserve">. </w:t>
      </w:r>
    </w:p>
    <w:p w14:paraId="3EBAB711" w14:textId="77777777" w:rsidR="002E5FB7" w:rsidRDefault="002E5FB7" w:rsidP="002E5FB7">
      <w:pPr>
        <w:pStyle w:val="rProposal"/>
      </w:pPr>
      <w:r>
        <w:rPr>
          <w:rFonts w:hint="eastAsia"/>
        </w:rPr>
        <w:t xml:space="preserve">Proposal 8: </w:t>
      </w:r>
      <w:r>
        <w:t>I</w:t>
      </w:r>
      <w:r>
        <w:rPr>
          <w:rFonts w:hint="eastAsia"/>
        </w:rPr>
        <w:t xml:space="preserve">t can be considered to </w:t>
      </w:r>
      <w:r>
        <w:t xml:space="preserve">define UE behaviour on interaction between SPS/CG configurations, in order to improve overall UE capacity. </w:t>
      </w:r>
    </w:p>
    <w:p w14:paraId="1C0DE524" w14:textId="77777777" w:rsidR="002E5FB7" w:rsidRDefault="002E5FB7" w:rsidP="002E5FB7">
      <w:pPr>
        <w:pStyle w:val="rProposal"/>
      </w:pPr>
      <w:r>
        <w:rPr>
          <w:rFonts w:hint="eastAsia"/>
        </w:rPr>
        <w:t>Proposal</w:t>
      </w:r>
      <w:r>
        <w:t xml:space="preserve"> 9</w:t>
      </w:r>
      <w:r>
        <w:rPr>
          <w:rFonts w:hint="eastAsia"/>
        </w:rPr>
        <w:t xml:space="preserve"> :</w:t>
      </w:r>
      <w:r>
        <w:t xml:space="preserve"> Support non-integer periodicities by modified equation determining SPS/CG occasions. </w:t>
      </w:r>
    </w:p>
    <w:p w14:paraId="5C1C5803" w14:textId="77777777" w:rsidR="002E5FB7" w:rsidRPr="00DF3855" w:rsidRDefault="002E5FB7" w:rsidP="002E5FB7">
      <w:pPr>
        <w:pStyle w:val="rProposal"/>
        <w:numPr>
          <w:ilvl w:val="0"/>
          <w:numId w:val="24"/>
        </w:numPr>
        <w:ind w:firstLineChars="0"/>
      </w:pPr>
      <w:r>
        <w:rPr>
          <w:rFonts w:hint="eastAsia"/>
        </w:rPr>
        <w:t>FFS:</w:t>
      </w:r>
      <w:r>
        <w:t xml:space="preserve"> How to add non-integer periodicities to current periodicity parameter. </w:t>
      </w:r>
    </w:p>
    <w:p w14:paraId="4669654C" w14:textId="77777777" w:rsidR="002E5FB7" w:rsidRDefault="002E5FB7" w:rsidP="002E5FB7">
      <w:pPr>
        <w:pStyle w:val="rProposal"/>
      </w:pPr>
      <w:r>
        <w:rPr>
          <w:rFonts w:hint="eastAsia"/>
        </w:rPr>
        <w:t xml:space="preserve">Proposal </w:t>
      </w:r>
      <w:r>
        <w:t>10</w:t>
      </w:r>
      <w:r>
        <w:rPr>
          <w:rFonts w:hint="eastAsia"/>
        </w:rPr>
        <w:t>:</w:t>
      </w:r>
      <w:r>
        <w:t xml:space="preserve"> </w:t>
      </w:r>
      <w:r>
        <w:rPr>
          <w:rFonts w:hint="eastAsia"/>
          <w:lang w:val="en-US"/>
        </w:rPr>
        <w:t>For XR-s</w:t>
      </w:r>
      <w:r>
        <w:rPr>
          <w:lang w:val="en-US"/>
        </w:rPr>
        <w:t>pecific capacity improvement, it can be considered to study</w:t>
      </w:r>
      <w:r w:rsidRPr="00BE4D01">
        <w:t xml:space="preserve"> </w:t>
      </w:r>
      <w:r>
        <w:t xml:space="preserve">XR-specific priority handling. </w:t>
      </w:r>
    </w:p>
    <w:p w14:paraId="545FF843" w14:textId="77777777" w:rsidR="002E5FB7" w:rsidRDefault="002E5FB7" w:rsidP="002E5FB7">
      <w:pPr>
        <w:pStyle w:val="rProposal"/>
      </w:pPr>
      <w:r>
        <w:rPr>
          <w:rFonts w:hint="eastAsia"/>
        </w:rPr>
        <w:t xml:space="preserve">Proposal </w:t>
      </w:r>
      <w:r>
        <w:t>11</w:t>
      </w:r>
      <w:r>
        <w:rPr>
          <w:rFonts w:hint="eastAsia"/>
        </w:rPr>
        <w:t xml:space="preserve">: </w:t>
      </w:r>
      <w:r>
        <w:t xml:space="preserve">Study on link adaptation techniques could be de-prioritized. </w:t>
      </w:r>
    </w:p>
    <w:p w14:paraId="62D66765" w14:textId="77777777" w:rsidR="006054CD" w:rsidRPr="002E5FB7" w:rsidRDefault="006054CD" w:rsidP="00B04CE0">
      <w:pPr>
        <w:pStyle w:val="Doc"/>
        <w:rPr>
          <w:lang w:val="en-GB"/>
        </w:rPr>
      </w:pPr>
    </w:p>
    <w:p w14:paraId="74B8401E" w14:textId="394A0364" w:rsidR="00B04CE0" w:rsidRDefault="00B04CE0" w:rsidP="00B04CE0">
      <w:pPr>
        <w:pStyle w:val="1"/>
        <w:numPr>
          <w:ilvl w:val="0"/>
          <w:numId w:val="1"/>
        </w:numPr>
        <w:ind w:firstLine="0"/>
        <w:rPr>
          <w:rFonts w:eastAsia="바탕"/>
          <w:b/>
          <w:lang w:eastAsia="ko-KR"/>
        </w:rPr>
      </w:pPr>
      <w:r>
        <w:rPr>
          <w:rFonts w:eastAsia="바탕"/>
          <w:b/>
          <w:lang w:eastAsia="ko-KR"/>
        </w:rPr>
        <w:lastRenderedPageBreak/>
        <w:t>References</w:t>
      </w:r>
    </w:p>
    <w:p w14:paraId="729554FF" w14:textId="1498105A" w:rsidR="009A44E2" w:rsidRPr="00E779B8" w:rsidRDefault="002E5FB7" w:rsidP="00DE502F">
      <w:pPr>
        <w:pStyle w:val="References"/>
        <w:tabs>
          <w:tab w:val="clear" w:pos="6031"/>
        </w:tabs>
        <w:ind w:left="426" w:hanging="426"/>
        <w:jc w:val="left"/>
      </w:pPr>
      <w:r>
        <w:rPr>
          <w:rFonts w:eastAsiaTheme="minorEastAsia" w:hint="eastAsia"/>
          <w:lang w:eastAsia="ko-KR"/>
        </w:rPr>
        <w:t>RAN</w:t>
      </w:r>
      <w:r>
        <w:rPr>
          <w:rFonts w:eastAsiaTheme="minorEastAsia"/>
          <w:lang w:eastAsia="ko-KR"/>
        </w:rPr>
        <w:t>1#109-e Chairman’s notes</w:t>
      </w:r>
      <w:bookmarkStart w:id="4" w:name="_GoBack"/>
      <w:bookmarkEnd w:id="4"/>
    </w:p>
    <w:sectPr w:rsidR="009A44E2" w:rsidRPr="00E779B8"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81BBD" w14:textId="77777777" w:rsidR="005C65A6" w:rsidRDefault="005C65A6" w:rsidP="00CB15B0">
      <w:pPr>
        <w:spacing w:before="0" w:after="0" w:line="240" w:lineRule="auto"/>
      </w:pPr>
      <w:r>
        <w:separator/>
      </w:r>
    </w:p>
  </w:endnote>
  <w:endnote w:type="continuationSeparator" w:id="0">
    <w:p w14:paraId="6C4E78AF" w14:textId="77777777" w:rsidR="005C65A6" w:rsidRDefault="005C65A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363B5" w14:textId="77777777" w:rsidR="005C65A6" w:rsidRDefault="005C65A6" w:rsidP="00CB15B0">
      <w:pPr>
        <w:spacing w:before="0" w:after="0" w:line="240" w:lineRule="auto"/>
      </w:pPr>
      <w:r>
        <w:separator/>
      </w:r>
    </w:p>
  </w:footnote>
  <w:footnote w:type="continuationSeparator" w:id="0">
    <w:p w14:paraId="73A2A5EB" w14:textId="77777777" w:rsidR="005C65A6" w:rsidRDefault="005C65A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2406D"/>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
    <w:nsid w:val="06797112"/>
    <w:multiLevelType w:val="multilevel"/>
    <w:tmpl w:val="4074F3DC"/>
    <w:lvl w:ilvl="0">
      <w:start w:val="2"/>
      <w:numFmt w:val="decimal"/>
      <w:lvlText w:val="%1"/>
      <w:lvlJc w:val="left"/>
      <w:pPr>
        <w:ind w:left="360" w:hanging="360"/>
      </w:pPr>
      <w:rPr>
        <w:rFonts w:hint="default"/>
      </w:rPr>
    </w:lvl>
    <w:lvl w:ilvl="1">
      <w:start w:val="4"/>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3">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B3460B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5">
    <w:nsid w:val="26983C5B"/>
    <w:multiLevelType w:val="hybridMultilevel"/>
    <w:tmpl w:val="50ECC8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00B5C1F"/>
    <w:multiLevelType w:val="hybridMultilevel"/>
    <w:tmpl w:val="76B22A58"/>
    <w:lvl w:ilvl="0" w:tplc="019E8480">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3B0E35CC"/>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9">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40CD2CDC"/>
    <w:multiLevelType w:val="multilevel"/>
    <w:tmpl w:val="6B1437B2"/>
    <w:lvl w:ilvl="0">
      <w:start w:val="1"/>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11">
    <w:nsid w:val="40DE34BC"/>
    <w:multiLevelType w:val="singleLevel"/>
    <w:tmpl w:val="40DE34BC"/>
    <w:lvl w:ilvl="0">
      <w:start w:val="1"/>
      <w:numFmt w:val="decimal"/>
      <w:lvlText w:val="%1."/>
      <w:lvlJc w:val="left"/>
      <w:pPr>
        <w:tabs>
          <w:tab w:val="left" w:pos="360"/>
        </w:tabs>
        <w:ind w:left="360" w:hanging="360"/>
      </w:pPr>
    </w:lvl>
  </w:abstractNum>
  <w:abstractNum w:abstractNumId="12">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nsid w:val="4EAE399E"/>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5">
    <w:nsid w:val="52FE0FD3"/>
    <w:multiLevelType w:val="multilevel"/>
    <w:tmpl w:val="960E048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58126F5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7">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8">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3157D4"/>
    <w:multiLevelType w:val="multilevel"/>
    <w:tmpl w:val="9F86694C"/>
    <w:lvl w:ilvl="0">
      <w:start w:val="1"/>
      <w:numFmt w:val="decimal"/>
      <w:pStyle w:val="TdocHeading1"/>
      <w:lvlText w:val="%1."/>
      <w:lvlJc w:val="left"/>
      <w:pPr>
        <w:tabs>
          <w:tab w:val="num" w:pos="0"/>
        </w:tabs>
        <w:ind w:left="0" w:hanging="425"/>
      </w:pPr>
    </w:lvl>
    <w:lvl w:ilvl="1">
      <w:start w:val="1"/>
      <w:numFmt w:val="decimal"/>
      <w:pStyle w:val="2"/>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0">
    <w:nsid w:val="78D84FFE"/>
    <w:multiLevelType w:val="hybridMultilevel"/>
    <w:tmpl w:val="0542F5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0"/>
  </w:num>
  <w:num w:numId="3">
    <w:abstractNumId w:val="7"/>
  </w:num>
  <w:num w:numId="4">
    <w:abstractNumId w:val="17"/>
  </w:num>
  <w:num w:numId="5">
    <w:abstractNumId w:val="18"/>
  </w:num>
  <w:num w:numId="6">
    <w:abstractNumId w:val="20"/>
  </w:num>
  <w:num w:numId="7">
    <w:abstractNumId w:val="4"/>
  </w:num>
  <w:num w:numId="8">
    <w:abstractNumId w:val="11"/>
  </w:num>
  <w:num w:numId="9">
    <w:abstractNumId w:val="6"/>
  </w:num>
  <w:num w:numId="10">
    <w:abstractNumId w:val="8"/>
  </w:num>
  <w:num w:numId="11">
    <w:abstractNumId w:val="10"/>
  </w:num>
  <w:num w:numId="12">
    <w:abstractNumId w:val="14"/>
  </w:num>
  <w:num w:numId="13">
    <w:abstractNumId w:val="15"/>
  </w:num>
  <w:num w:numId="14">
    <w:abstractNumId w:val="16"/>
  </w:num>
  <w:num w:numId="15">
    <w:abstractNumId w:val="2"/>
  </w:num>
  <w:num w:numId="16">
    <w:abstractNumId w:val="1"/>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9"/>
  </w:num>
  <w:num w:numId="20">
    <w:abstractNumId w:val="12"/>
  </w:num>
  <w:num w:numId="21">
    <w:abstractNumId w:val="3"/>
  </w:num>
  <w:num w:numId="22">
    <w:abstractNumId w:val="13"/>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E5C"/>
    <w:rsid w:val="00021239"/>
    <w:rsid w:val="0002147A"/>
    <w:rsid w:val="00021872"/>
    <w:rsid w:val="00021A12"/>
    <w:rsid w:val="00021B8C"/>
    <w:rsid w:val="00021CF8"/>
    <w:rsid w:val="00021E44"/>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9AF"/>
    <w:rsid w:val="00046A2B"/>
    <w:rsid w:val="00046DEE"/>
    <w:rsid w:val="00046EB1"/>
    <w:rsid w:val="00046F47"/>
    <w:rsid w:val="0004706D"/>
    <w:rsid w:val="00047C4E"/>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72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56C"/>
    <w:rsid w:val="000B59C5"/>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03F"/>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01"/>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40C"/>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9ED"/>
    <w:rsid w:val="001A70F0"/>
    <w:rsid w:val="001A73A2"/>
    <w:rsid w:val="001A7600"/>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F0144"/>
    <w:rsid w:val="001F085D"/>
    <w:rsid w:val="001F08B2"/>
    <w:rsid w:val="001F0A7D"/>
    <w:rsid w:val="001F0D2A"/>
    <w:rsid w:val="001F17F5"/>
    <w:rsid w:val="001F2507"/>
    <w:rsid w:val="001F29D4"/>
    <w:rsid w:val="001F2A5F"/>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D8D"/>
    <w:rsid w:val="00201DCF"/>
    <w:rsid w:val="00201E4A"/>
    <w:rsid w:val="00202689"/>
    <w:rsid w:val="00202B27"/>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F85"/>
    <w:rsid w:val="0027224D"/>
    <w:rsid w:val="00272632"/>
    <w:rsid w:val="0027491D"/>
    <w:rsid w:val="002749B8"/>
    <w:rsid w:val="00275C97"/>
    <w:rsid w:val="00276D0B"/>
    <w:rsid w:val="00277BAA"/>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BC3"/>
    <w:rsid w:val="002A0CDD"/>
    <w:rsid w:val="002A2018"/>
    <w:rsid w:val="002A2038"/>
    <w:rsid w:val="002A2398"/>
    <w:rsid w:val="002A2AE5"/>
    <w:rsid w:val="002A2D36"/>
    <w:rsid w:val="002A3EC3"/>
    <w:rsid w:val="002A3F1F"/>
    <w:rsid w:val="002A42F5"/>
    <w:rsid w:val="002A4A3A"/>
    <w:rsid w:val="002A4EDC"/>
    <w:rsid w:val="002A5179"/>
    <w:rsid w:val="002A5452"/>
    <w:rsid w:val="002A553F"/>
    <w:rsid w:val="002A5A7A"/>
    <w:rsid w:val="002A5CEC"/>
    <w:rsid w:val="002A6368"/>
    <w:rsid w:val="002A684E"/>
    <w:rsid w:val="002A6D7A"/>
    <w:rsid w:val="002A73B4"/>
    <w:rsid w:val="002A768C"/>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50B"/>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4F6F"/>
    <w:rsid w:val="002D59A1"/>
    <w:rsid w:val="002D5D4E"/>
    <w:rsid w:val="002D5E07"/>
    <w:rsid w:val="002D6A0C"/>
    <w:rsid w:val="002D6DFF"/>
    <w:rsid w:val="002D7A9A"/>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5FB7"/>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0EE"/>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3C4B"/>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364"/>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4FC4"/>
    <w:rsid w:val="003B52EF"/>
    <w:rsid w:val="003B5521"/>
    <w:rsid w:val="003B56D7"/>
    <w:rsid w:val="003B5F00"/>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34E"/>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D0F"/>
    <w:rsid w:val="004940E8"/>
    <w:rsid w:val="00494989"/>
    <w:rsid w:val="00494A32"/>
    <w:rsid w:val="00494B0A"/>
    <w:rsid w:val="00494B20"/>
    <w:rsid w:val="00494C30"/>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3BB3"/>
    <w:rsid w:val="004A43B7"/>
    <w:rsid w:val="004A486F"/>
    <w:rsid w:val="004A52CD"/>
    <w:rsid w:val="004A554C"/>
    <w:rsid w:val="004A55A7"/>
    <w:rsid w:val="004A56F3"/>
    <w:rsid w:val="004A582A"/>
    <w:rsid w:val="004A5A83"/>
    <w:rsid w:val="004A5B5F"/>
    <w:rsid w:val="004A5C53"/>
    <w:rsid w:val="004A5D32"/>
    <w:rsid w:val="004A5E54"/>
    <w:rsid w:val="004A61D1"/>
    <w:rsid w:val="004A66EB"/>
    <w:rsid w:val="004A7510"/>
    <w:rsid w:val="004A76C4"/>
    <w:rsid w:val="004A7A90"/>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230"/>
    <w:rsid w:val="004C5449"/>
    <w:rsid w:val="004C65B8"/>
    <w:rsid w:val="004C6A20"/>
    <w:rsid w:val="004C76BD"/>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0B3"/>
    <w:rsid w:val="004D61D8"/>
    <w:rsid w:val="004D6349"/>
    <w:rsid w:val="004D63A8"/>
    <w:rsid w:val="004D656A"/>
    <w:rsid w:val="004D657F"/>
    <w:rsid w:val="004D7398"/>
    <w:rsid w:val="004D73B5"/>
    <w:rsid w:val="004D75C2"/>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09F"/>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9CD"/>
    <w:rsid w:val="005979FB"/>
    <w:rsid w:val="00597BF5"/>
    <w:rsid w:val="005A0871"/>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46B"/>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5A6"/>
    <w:rsid w:val="005C6AA8"/>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5EB"/>
    <w:rsid w:val="005D775B"/>
    <w:rsid w:val="005D7797"/>
    <w:rsid w:val="005E0608"/>
    <w:rsid w:val="005E0681"/>
    <w:rsid w:val="005E08F6"/>
    <w:rsid w:val="005E091B"/>
    <w:rsid w:val="005E0B65"/>
    <w:rsid w:val="005E17E6"/>
    <w:rsid w:val="005E1830"/>
    <w:rsid w:val="005E1BC7"/>
    <w:rsid w:val="005E2648"/>
    <w:rsid w:val="005E2F32"/>
    <w:rsid w:val="005E3195"/>
    <w:rsid w:val="005E37F4"/>
    <w:rsid w:val="005E3815"/>
    <w:rsid w:val="005E3A7D"/>
    <w:rsid w:val="005E4326"/>
    <w:rsid w:val="005E4567"/>
    <w:rsid w:val="005E45D9"/>
    <w:rsid w:val="005E48C7"/>
    <w:rsid w:val="005E491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2060"/>
    <w:rsid w:val="006022F7"/>
    <w:rsid w:val="006031DA"/>
    <w:rsid w:val="006035FF"/>
    <w:rsid w:val="00603EB8"/>
    <w:rsid w:val="00604233"/>
    <w:rsid w:val="006048BE"/>
    <w:rsid w:val="00604EB4"/>
    <w:rsid w:val="006050F9"/>
    <w:rsid w:val="006054CD"/>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19F"/>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0F5F"/>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CF"/>
    <w:rsid w:val="00660597"/>
    <w:rsid w:val="0066077F"/>
    <w:rsid w:val="006614A2"/>
    <w:rsid w:val="0066168E"/>
    <w:rsid w:val="0066224E"/>
    <w:rsid w:val="006622D2"/>
    <w:rsid w:val="00662DB5"/>
    <w:rsid w:val="0066328B"/>
    <w:rsid w:val="006641DB"/>
    <w:rsid w:val="00664B4E"/>
    <w:rsid w:val="00664B53"/>
    <w:rsid w:val="006653C0"/>
    <w:rsid w:val="00665520"/>
    <w:rsid w:val="0066568E"/>
    <w:rsid w:val="0066590D"/>
    <w:rsid w:val="00665914"/>
    <w:rsid w:val="00665B24"/>
    <w:rsid w:val="00665E4E"/>
    <w:rsid w:val="0066600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4D11"/>
    <w:rsid w:val="006D52EB"/>
    <w:rsid w:val="006D5DAE"/>
    <w:rsid w:val="006D6634"/>
    <w:rsid w:val="006D724C"/>
    <w:rsid w:val="006D75EB"/>
    <w:rsid w:val="006D77C6"/>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8C"/>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3F"/>
    <w:rsid w:val="007C4C25"/>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28E"/>
    <w:rsid w:val="00807CF5"/>
    <w:rsid w:val="00810113"/>
    <w:rsid w:val="00810203"/>
    <w:rsid w:val="0081027C"/>
    <w:rsid w:val="008103B7"/>
    <w:rsid w:val="00810829"/>
    <w:rsid w:val="00810D2A"/>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55F"/>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1E41"/>
    <w:rsid w:val="00841E68"/>
    <w:rsid w:val="00842192"/>
    <w:rsid w:val="00842316"/>
    <w:rsid w:val="00842642"/>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3D3"/>
    <w:rsid w:val="00871439"/>
    <w:rsid w:val="008714C8"/>
    <w:rsid w:val="008714FD"/>
    <w:rsid w:val="008716AE"/>
    <w:rsid w:val="00871E61"/>
    <w:rsid w:val="00872131"/>
    <w:rsid w:val="008723C7"/>
    <w:rsid w:val="00872BC6"/>
    <w:rsid w:val="00872F2B"/>
    <w:rsid w:val="00873475"/>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4B39"/>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CF0"/>
    <w:rsid w:val="008C1F7C"/>
    <w:rsid w:val="008C242C"/>
    <w:rsid w:val="008C2AF8"/>
    <w:rsid w:val="008C30DE"/>
    <w:rsid w:val="008C32A8"/>
    <w:rsid w:val="008C3E9F"/>
    <w:rsid w:val="008C44DA"/>
    <w:rsid w:val="008C4995"/>
    <w:rsid w:val="008C4C24"/>
    <w:rsid w:val="008C4F5A"/>
    <w:rsid w:val="008C537B"/>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5CB"/>
    <w:rsid w:val="008E66C4"/>
    <w:rsid w:val="008E6C06"/>
    <w:rsid w:val="008E6EA7"/>
    <w:rsid w:val="008E7128"/>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2F71"/>
    <w:rsid w:val="008F357F"/>
    <w:rsid w:val="008F451D"/>
    <w:rsid w:val="008F4658"/>
    <w:rsid w:val="008F4A54"/>
    <w:rsid w:val="008F4AEF"/>
    <w:rsid w:val="008F5045"/>
    <w:rsid w:val="008F5307"/>
    <w:rsid w:val="008F5437"/>
    <w:rsid w:val="008F5721"/>
    <w:rsid w:val="008F596A"/>
    <w:rsid w:val="008F5CFF"/>
    <w:rsid w:val="008F605A"/>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5F4"/>
    <w:rsid w:val="00901A1F"/>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728"/>
    <w:rsid w:val="00906C4D"/>
    <w:rsid w:val="00906F50"/>
    <w:rsid w:val="00906F9D"/>
    <w:rsid w:val="00907574"/>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E5"/>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A84"/>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5F69"/>
    <w:rsid w:val="00976622"/>
    <w:rsid w:val="0097704F"/>
    <w:rsid w:val="009779C8"/>
    <w:rsid w:val="00977C08"/>
    <w:rsid w:val="00980768"/>
    <w:rsid w:val="0098095D"/>
    <w:rsid w:val="00980D20"/>
    <w:rsid w:val="00980E3B"/>
    <w:rsid w:val="00981955"/>
    <w:rsid w:val="00981967"/>
    <w:rsid w:val="009819C3"/>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F4"/>
    <w:rsid w:val="009A27ED"/>
    <w:rsid w:val="009A2DAE"/>
    <w:rsid w:val="009A3B0D"/>
    <w:rsid w:val="009A44A7"/>
    <w:rsid w:val="009A44E2"/>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21D"/>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9D6"/>
    <w:rsid w:val="009E1F17"/>
    <w:rsid w:val="009E2E4B"/>
    <w:rsid w:val="009E2EA9"/>
    <w:rsid w:val="009E3013"/>
    <w:rsid w:val="009E338E"/>
    <w:rsid w:val="009E3C6D"/>
    <w:rsid w:val="009E46A6"/>
    <w:rsid w:val="009E49F9"/>
    <w:rsid w:val="009E4A3B"/>
    <w:rsid w:val="009E4B6A"/>
    <w:rsid w:val="009E52AE"/>
    <w:rsid w:val="009E54E2"/>
    <w:rsid w:val="009E5E08"/>
    <w:rsid w:val="009E5F4A"/>
    <w:rsid w:val="009E6C68"/>
    <w:rsid w:val="009E6EF8"/>
    <w:rsid w:val="009E73F0"/>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4A4"/>
    <w:rsid w:val="00A306CA"/>
    <w:rsid w:val="00A30833"/>
    <w:rsid w:val="00A3096F"/>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1E"/>
    <w:rsid w:val="00A41620"/>
    <w:rsid w:val="00A41BDB"/>
    <w:rsid w:val="00A42100"/>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203A"/>
    <w:rsid w:val="00AC30AD"/>
    <w:rsid w:val="00AC33A7"/>
    <w:rsid w:val="00AC34DF"/>
    <w:rsid w:val="00AC36BF"/>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69C"/>
    <w:rsid w:val="00AE0D85"/>
    <w:rsid w:val="00AE0DC1"/>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C45"/>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4CE0"/>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EFD"/>
    <w:rsid w:val="00B71313"/>
    <w:rsid w:val="00B71367"/>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0FC"/>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0D83"/>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6D"/>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3A4"/>
    <w:rsid w:val="00BE28D8"/>
    <w:rsid w:val="00BE2954"/>
    <w:rsid w:val="00BE2D4B"/>
    <w:rsid w:val="00BE39D9"/>
    <w:rsid w:val="00BE4245"/>
    <w:rsid w:val="00BE4795"/>
    <w:rsid w:val="00BE48C3"/>
    <w:rsid w:val="00BE4D01"/>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D47"/>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631"/>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E7F8F"/>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EEA"/>
    <w:rsid w:val="00D020D2"/>
    <w:rsid w:val="00D025DD"/>
    <w:rsid w:val="00D02645"/>
    <w:rsid w:val="00D02A6D"/>
    <w:rsid w:val="00D02A92"/>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1AF1"/>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05C"/>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6718"/>
    <w:rsid w:val="00D57195"/>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67766"/>
    <w:rsid w:val="00D70814"/>
    <w:rsid w:val="00D70BA5"/>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462"/>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741"/>
    <w:rsid w:val="00DC69C3"/>
    <w:rsid w:val="00DC72A3"/>
    <w:rsid w:val="00DC7664"/>
    <w:rsid w:val="00DC793F"/>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4D34"/>
    <w:rsid w:val="00DE502F"/>
    <w:rsid w:val="00DE50AA"/>
    <w:rsid w:val="00DE50BF"/>
    <w:rsid w:val="00DE51E5"/>
    <w:rsid w:val="00DE56EE"/>
    <w:rsid w:val="00DE5A68"/>
    <w:rsid w:val="00DE5D3E"/>
    <w:rsid w:val="00DE629E"/>
    <w:rsid w:val="00DE6BA5"/>
    <w:rsid w:val="00DE74CF"/>
    <w:rsid w:val="00DE79D3"/>
    <w:rsid w:val="00DF07CA"/>
    <w:rsid w:val="00DF0914"/>
    <w:rsid w:val="00DF0AEF"/>
    <w:rsid w:val="00DF0F19"/>
    <w:rsid w:val="00DF0F5E"/>
    <w:rsid w:val="00DF10E3"/>
    <w:rsid w:val="00DF11BA"/>
    <w:rsid w:val="00DF1806"/>
    <w:rsid w:val="00DF26B1"/>
    <w:rsid w:val="00DF2E7C"/>
    <w:rsid w:val="00DF3090"/>
    <w:rsid w:val="00DF34A7"/>
    <w:rsid w:val="00DF3626"/>
    <w:rsid w:val="00DF3719"/>
    <w:rsid w:val="00DF3855"/>
    <w:rsid w:val="00DF3B3B"/>
    <w:rsid w:val="00DF3BBD"/>
    <w:rsid w:val="00DF3CC3"/>
    <w:rsid w:val="00DF42AC"/>
    <w:rsid w:val="00DF5518"/>
    <w:rsid w:val="00DF5C51"/>
    <w:rsid w:val="00DF615B"/>
    <w:rsid w:val="00DF704D"/>
    <w:rsid w:val="00DF7253"/>
    <w:rsid w:val="00DF72C2"/>
    <w:rsid w:val="00DF7518"/>
    <w:rsid w:val="00DF7B3B"/>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0C"/>
    <w:rsid w:val="00E14A81"/>
    <w:rsid w:val="00E14FFA"/>
    <w:rsid w:val="00E151A8"/>
    <w:rsid w:val="00E162A4"/>
    <w:rsid w:val="00E16384"/>
    <w:rsid w:val="00E16719"/>
    <w:rsid w:val="00E16D56"/>
    <w:rsid w:val="00E16E4C"/>
    <w:rsid w:val="00E1732B"/>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D1D"/>
    <w:rsid w:val="00E431F2"/>
    <w:rsid w:val="00E432D9"/>
    <w:rsid w:val="00E43B48"/>
    <w:rsid w:val="00E44586"/>
    <w:rsid w:val="00E44AD3"/>
    <w:rsid w:val="00E44C7B"/>
    <w:rsid w:val="00E44D49"/>
    <w:rsid w:val="00E45C8D"/>
    <w:rsid w:val="00E462B6"/>
    <w:rsid w:val="00E46465"/>
    <w:rsid w:val="00E466D2"/>
    <w:rsid w:val="00E46D6C"/>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7B0"/>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0A83"/>
    <w:rsid w:val="00EC18C7"/>
    <w:rsid w:val="00EC1A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2CC"/>
    <w:rsid w:val="00ED44EB"/>
    <w:rsid w:val="00ED5345"/>
    <w:rsid w:val="00ED6012"/>
    <w:rsid w:val="00ED6125"/>
    <w:rsid w:val="00ED6177"/>
    <w:rsid w:val="00ED6EF0"/>
    <w:rsid w:val="00ED7016"/>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443C"/>
    <w:rsid w:val="00EF5695"/>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5EFA"/>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4775E"/>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2FF9"/>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69DC"/>
    <w:rsid w:val="00FD6AB9"/>
    <w:rsid w:val="00FD6D9E"/>
    <w:rsid w:val="00FD72E7"/>
    <w:rsid w:val="00FD7AC4"/>
    <w:rsid w:val="00FD7B55"/>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4D2E"/>
    <w:rsid w:val="00FF51FF"/>
    <w:rsid w:val="00FF58D2"/>
    <w:rsid w:val="00FF5A55"/>
    <w:rsid w:val="00FF5F41"/>
    <w:rsid w:val="00FF5FAB"/>
    <w:rsid w:val="00FF63E6"/>
    <w:rsid w:val="00FF67DC"/>
    <w:rsid w:val="00FF6CE2"/>
    <w:rsid w:val="00FF6F4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0EE"/>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9E19D6"/>
    <w:pPr>
      <w:keepNext/>
      <w:numPr>
        <w:ilvl w:val="1"/>
        <w:numId w:val="1"/>
      </w:numPr>
      <w:outlineLvl w:val="1"/>
    </w:pPr>
    <w:rPr>
      <w:rFonts w:ascii="Arial" w:eastAsia="맑은 고딕" w:hAnsi="Arial"/>
      <w:b/>
      <w:kern w:val="2"/>
      <w:sz w:val="24"/>
      <w:szCs w:val="22"/>
      <w:lang w:val="en-US" w:eastAsia="ko-KR"/>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3"/>
    <w:next w:val="a7"/>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04CE0"/>
    <w:pPr>
      <w:ind w:left="1122" w:hangingChars="510" w:hanging="1122"/>
    </w:pPr>
    <w:rPr>
      <w:rFonts w:eastAsiaTheme="minorEastAsia"/>
      <w:b/>
      <w:sz w:val="22"/>
      <w:lang w:eastAsia="ko-KR"/>
    </w:rPr>
  </w:style>
  <w:style w:type="character" w:customStyle="1" w:styleId="rProposalChar">
    <w:name w:val="rProposal Char"/>
    <w:link w:val="rProposal"/>
    <w:rsid w:val="00B04CE0"/>
    <w:rPr>
      <w:rFonts w:eastAsiaTheme="minorEastAsia"/>
      <w:b/>
      <w:sz w:val="22"/>
      <w:lang w:val="en-GB"/>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9E19D6"/>
    <w:rPr>
      <w:rFonts w:ascii="Arial" w:eastAsia="맑은 고딕" w:hAnsi="Arial"/>
      <w:b/>
      <w:kern w:val="2"/>
      <w:sz w:val="24"/>
      <w:szCs w:val="22"/>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ing1">
    <w:name w:val="Tdoc_Heading_1"/>
    <w:basedOn w:val="1"/>
    <w:next w:val="a8"/>
    <w:qFormat/>
    <w:rsid w:val="00B04CE0"/>
    <w:pPr>
      <w:numPr>
        <w:numId w:val="1"/>
      </w:numPr>
      <w:ind w:firstLine="0"/>
    </w:pPr>
    <w:rPr>
      <w:rFonts w:eastAsia="바탕"/>
      <w:b/>
      <w:lang w:eastAsia="ko-KR"/>
    </w:rPr>
  </w:style>
  <w:style w:type="paragraph" w:customStyle="1" w:styleId="Doc">
    <w:name w:val="Doc"/>
    <w:basedOn w:val="a1"/>
    <w:link w:val="DocChar"/>
    <w:qFormat/>
    <w:rsid w:val="00B04CE0"/>
    <w:pPr>
      <w:spacing w:before="120" w:line="240" w:lineRule="auto"/>
      <w:ind w:left="0" w:firstLineChars="193" w:firstLine="425"/>
    </w:pPr>
    <w:rPr>
      <w:rFonts w:eastAsia="맑은 고딕"/>
      <w:kern w:val="2"/>
      <w:sz w:val="22"/>
      <w:szCs w:val="22"/>
      <w:lang w:val="en-US" w:eastAsia="ko-KR"/>
    </w:rPr>
  </w:style>
  <w:style w:type="character" w:customStyle="1" w:styleId="DocChar">
    <w:name w:val="Doc Char"/>
    <w:basedOn w:val="a2"/>
    <w:link w:val="Doc"/>
    <w:rsid w:val="00B04CE0"/>
    <w:rPr>
      <w:rFonts w:eastAsia="맑은 고딕"/>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1483448">
      <w:bodyDiv w:val="1"/>
      <w:marLeft w:val="0"/>
      <w:marRight w:val="0"/>
      <w:marTop w:val="0"/>
      <w:marBottom w:val="0"/>
      <w:divBdr>
        <w:top w:val="none" w:sz="0" w:space="0" w:color="auto"/>
        <w:left w:val="none" w:sz="0" w:space="0" w:color="auto"/>
        <w:bottom w:val="none" w:sz="0" w:space="0" w:color="auto"/>
        <w:right w:val="none" w:sz="0" w:space="0" w:color="auto"/>
      </w:divBdr>
      <w:divsChild>
        <w:div w:id="258756433">
          <w:marLeft w:val="0"/>
          <w:marRight w:val="0"/>
          <w:marTop w:val="0"/>
          <w:marBottom w:val="0"/>
          <w:divBdr>
            <w:top w:val="none" w:sz="0" w:space="0" w:color="auto"/>
            <w:left w:val="none" w:sz="0" w:space="0" w:color="auto"/>
            <w:bottom w:val="none" w:sz="0" w:space="0" w:color="auto"/>
            <w:right w:val="none" w:sz="0" w:space="0" w:color="auto"/>
          </w:divBdr>
          <w:divsChild>
            <w:div w:id="141308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088312314">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7AABC3-43AF-4009-8CB9-6EDCFE9F7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8</Pages>
  <Words>2601</Words>
  <Characters>14826</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배덕현/선임연구원/ICT기술센터 C&amp;M표준(연)5G무선접속표준Task(duckhyun.bae@lge.com)</cp:lastModifiedBy>
  <cp:revision>9</cp:revision>
  <cp:lastPrinted>2018-11-01T13:47:00Z</cp:lastPrinted>
  <dcterms:created xsi:type="dcterms:W3CDTF">2022-08-12T12:20:00Z</dcterms:created>
  <dcterms:modified xsi:type="dcterms:W3CDTF">2022-08-12T14:50:00Z</dcterms:modified>
</cp:coreProperties>
</file>